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5DAC">
      <w:pPr>
        <w:ind w:firstLine="883"/>
        <w:jc w:val="center"/>
        <w:rPr>
          <w:rFonts w:hint="eastAsia"/>
          <w:b/>
          <w:sz w:val="44"/>
          <w:szCs w:val="44"/>
        </w:rPr>
      </w:pPr>
    </w:p>
    <w:p w14:paraId="7D970585">
      <w:pPr>
        <w:ind w:firstLine="883"/>
        <w:jc w:val="center"/>
        <w:rPr>
          <w:rFonts w:hint="eastAsia"/>
          <w:b/>
          <w:sz w:val="44"/>
          <w:szCs w:val="44"/>
        </w:rPr>
      </w:pPr>
    </w:p>
    <w:p w14:paraId="1458E315">
      <w:pPr>
        <w:ind w:left="0" w:leftChars="0" w:firstLine="723" w:firstLineChars="100"/>
        <w:jc w:val="center"/>
        <w:rPr>
          <w:rFonts w:hint="eastAsia"/>
          <w:b/>
          <w:sz w:val="72"/>
          <w:szCs w:val="72"/>
          <w:lang w:val="en-US" w:eastAsia="zh-CN"/>
        </w:rPr>
      </w:pPr>
      <w:r>
        <w:rPr>
          <w:rFonts w:hint="eastAsia"/>
          <w:b/>
          <w:sz w:val="72"/>
          <w:szCs w:val="72"/>
          <w:lang w:val="en-US" w:eastAsia="zh-CN"/>
        </w:rPr>
        <w:t>装酒车间金刚砂、聚氨酯地面项目招标文件</w:t>
      </w:r>
    </w:p>
    <w:p w14:paraId="6C8A0AB9">
      <w:pPr>
        <w:pStyle w:val="11"/>
        <w:rPr>
          <w:rFonts w:hint="eastAsia"/>
          <w:b/>
          <w:sz w:val="72"/>
          <w:szCs w:val="72"/>
          <w:lang w:val="en-US" w:eastAsia="zh-CN"/>
        </w:rPr>
      </w:pPr>
    </w:p>
    <w:p w14:paraId="71EE460C">
      <w:pPr>
        <w:pStyle w:val="11"/>
        <w:rPr>
          <w:rFonts w:hint="eastAsia"/>
          <w:b/>
          <w:sz w:val="72"/>
          <w:szCs w:val="72"/>
          <w:lang w:val="en-US" w:eastAsia="zh-CN"/>
        </w:rPr>
      </w:pPr>
    </w:p>
    <w:p w14:paraId="5966801D">
      <w:pPr>
        <w:pStyle w:val="11"/>
        <w:rPr>
          <w:rFonts w:hint="eastAsia"/>
          <w:b/>
          <w:sz w:val="72"/>
          <w:szCs w:val="72"/>
          <w:lang w:val="en-US" w:eastAsia="zh-CN"/>
        </w:rPr>
      </w:pPr>
    </w:p>
    <w:p w14:paraId="467BD68A">
      <w:pPr>
        <w:pStyle w:val="11"/>
        <w:rPr>
          <w:rFonts w:hint="eastAsia" w:asciiTheme="minorEastAsia" w:hAnsiTheme="minorEastAsia" w:eastAsiaTheme="minorEastAsia" w:cstheme="minorEastAsia"/>
          <w:b/>
          <w:sz w:val="30"/>
          <w:szCs w:val="30"/>
          <w:lang w:val="en-US" w:eastAsia="zh-CN"/>
        </w:rPr>
      </w:pPr>
    </w:p>
    <w:p w14:paraId="53F1DCD3">
      <w:pPr>
        <w:pStyle w:val="11"/>
        <w:rPr>
          <w:rFonts w:hint="eastAsia" w:asciiTheme="minorEastAsia" w:hAnsiTheme="minorEastAsia" w:eastAsiaTheme="minorEastAsia" w:cstheme="minorEastAsia"/>
          <w:b/>
          <w:sz w:val="30"/>
          <w:szCs w:val="30"/>
          <w:lang w:val="en-US" w:eastAsia="zh-CN"/>
        </w:rPr>
      </w:pPr>
    </w:p>
    <w:p w14:paraId="03920A5F">
      <w:pPr>
        <w:pStyle w:val="11"/>
        <w:rPr>
          <w:rFonts w:hint="eastAsia" w:asciiTheme="minorEastAsia" w:hAnsiTheme="minorEastAsia" w:eastAsiaTheme="minorEastAsia" w:cstheme="minorEastAsia"/>
          <w:b/>
          <w:sz w:val="30"/>
          <w:szCs w:val="30"/>
          <w:lang w:val="en-US" w:eastAsia="zh-CN"/>
        </w:rPr>
      </w:pPr>
    </w:p>
    <w:p w14:paraId="5BBCD21A">
      <w:pPr>
        <w:pStyle w:val="11"/>
        <w:rPr>
          <w:rFonts w:hint="eastAsia" w:asciiTheme="minorEastAsia" w:hAnsiTheme="minorEastAsia" w:eastAsiaTheme="minorEastAsia" w:cstheme="minorEastAsia"/>
          <w:b/>
          <w:sz w:val="30"/>
          <w:szCs w:val="30"/>
          <w:lang w:val="en-US" w:eastAsia="zh-CN"/>
        </w:rPr>
      </w:pPr>
    </w:p>
    <w:p w14:paraId="199D6FB2">
      <w:pPr>
        <w:pStyle w:val="1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 xml:space="preserve">                              宝丰酒业有限公司</w:t>
      </w:r>
    </w:p>
    <w:p w14:paraId="18F4CE97">
      <w:pPr>
        <w:ind w:firstLine="883"/>
        <w:jc w:val="center"/>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 xml:space="preserve">                                    基建部</w:t>
      </w:r>
    </w:p>
    <w:p w14:paraId="312D3992">
      <w:pPr>
        <w:pStyle w:val="11"/>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2025.05.13</w:t>
      </w:r>
    </w:p>
    <w:p w14:paraId="43C0F3D2">
      <w:pPr>
        <w:ind w:firstLine="883"/>
        <w:jc w:val="center"/>
        <w:rPr>
          <w:rFonts w:hint="eastAsia" w:asciiTheme="minorEastAsia" w:hAnsiTheme="minorEastAsia" w:eastAsiaTheme="minorEastAsia" w:cstheme="minorEastAsia"/>
          <w:b/>
          <w:sz w:val="30"/>
          <w:szCs w:val="30"/>
        </w:rPr>
      </w:pPr>
    </w:p>
    <w:p w14:paraId="32DF2EFC">
      <w:pPr>
        <w:ind w:firstLine="883"/>
        <w:jc w:val="center"/>
        <w:rPr>
          <w:rFonts w:hint="eastAsia"/>
          <w:b/>
          <w:sz w:val="44"/>
          <w:szCs w:val="44"/>
        </w:rPr>
      </w:pPr>
    </w:p>
    <w:p w14:paraId="4760DB55">
      <w:pPr>
        <w:ind w:firstLine="883"/>
        <w:jc w:val="center"/>
        <w:rPr>
          <w:rFonts w:hint="eastAsia"/>
          <w:b/>
          <w:sz w:val="44"/>
          <w:szCs w:val="44"/>
        </w:rPr>
      </w:pPr>
    </w:p>
    <w:p w14:paraId="05BEC697">
      <w:pPr>
        <w:ind w:left="0" w:leftChars="0" w:firstLine="0" w:firstLineChars="0"/>
        <w:jc w:val="both"/>
        <w:rPr>
          <w:rFonts w:hint="eastAsia"/>
          <w:b/>
          <w:sz w:val="44"/>
          <w:szCs w:val="44"/>
        </w:rPr>
      </w:pPr>
    </w:p>
    <w:p w14:paraId="4DDC60BA">
      <w:pPr>
        <w:ind w:firstLine="883"/>
        <w:jc w:val="center"/>
        <w:rPr>
          <w:rFonts w:hint="eastAsia"/>
          <w:b/>
          <w:sz w:val="44"/>
          <w:szCs w:val="44"/>
        </w:rPr>
      </w:pPr>
      <w:r>
        <w:rPr>
          <w:rFonts w:hint="eastAsia"/>
          <w:b/>
          <w:sz w:val="44"/>
          <w:szCs w:val="44"/>
        </w:rPr>
        <w:t>目  录</w:t>
      </w:r>
    </w:p>
    <w:p w14:paraId="04B18966">
      <w:pPr>
        <w:pStyle w:val="9"/>
        <w:tabs>
          <w:tab w:val="right" w:leader="dot" w:pos="9746"/>
        </w:tabs>
        <w:ind w:firstLine="482"/>
      </w:pPr>
      <w:bookmarkStart w:id="0" w:name="_Toc370219562"/>
      <w:bookmarkStart w:id="1" w:name="_Toc373069580"/>
      <w:bookmarkStart w:id="2" w:name="_Toc373069472"/>
      <w:r>
        <w:rPr>
          <w:rFonts w:hint="eastAsia"/>
          <w:b/>
        </w:rPr>
        <w:fldChar w:fldCharType="begin"/>
      </w:r>
      <w:r>
        <w:rPr>
          <w:rFonts w:hint="eastAsia"/>
          <w:b/>
        </w:rPr>
        <w:instrText xml:space="preserve">TOC \o "1-2" \h  \u </w:instrText>
      </w:r>
      <w:r>
        <w:rPr>
          <w:rFonts w:hint="eastAsia"/>
          <w:b/>
        </w:rPr>
        <w:fldChar w:fldCharType="separate"/>
      </w:r>
      <w:r>
        <w:rPr>
          <w:rFonts w:hint="eastAsia"/>
        </w:rPr>
        <w:fldChar w:fldCharType="begin"/>
      </w:r>
      <w:r>
        <w:rPr>
          <w:rFonts w:hint="eastAsia"/>
        </w:rPr>
        <w:instrText xml:space="preserve"> HYPERLINK \l _Toc563 </w:instrText>
      </w:r>
      <w:r>
        <w:rPr>
          <w:rFonts w:hint="eastAsia"/>
        </w:rPr>
        <w:fldChar w:fldCharType="separate"/>
      </w:r>
      <w:r>
        <w:rPr>
          <w:rFonts w:hint="eastAsia"/>
        </w:rPr>
        <w:t>第一章   施工招标文件</w:t>
      </w:r>
      <w:r>
        <w:tab/>
      </w:r>
      <w:r>
        <w:fldChar w:fldCharType="begin"/>
      </w:r>
      <w:r>
        <w:instrText xml:space="preserve"> PAGEREF _Toc563 </w:instrText>
      </w:r>
      <w:r>
        <w:fldChar w:fldCharType="separate"/>
      </w:r>
      <w:r>
        <w:t>3</w:t>
      </w:r>
      <w:r>
        <w:fldChar w:fldCharType="end"/>
      </w:r>
      <w:r>
        <w:rPr>
          <w:rFonts w:hint="eastAsia"/>
        </w:rPr>
        <w:fldChar w:fldCharType="end"/>
      </w:r>
    </w:p>
    <w:p w14:paraId="50C1D921">
      <w:pPr>
        <w:pStyle w:val="10"/>
        <w:tabs>
          <w:tab w:val="right" w:leader="dot" w:pos="9746"/>
        </w:tabs>
        <w:ind w:left="480" w:firstLine="480"/>
      </w:pPr>
      <w:r>
        <w:rPr>
          <w:rFonts w:hint="eastAsia"/>
        </w:rPr>
        <w:fldChar w:fldCharType="begin"/>
      </w:r>
      <w:r>
        <w:rPr>
          <w:rFonts w:hint="eastAsia"/>
        </w:rPr>
        <w:instrText xml:space="preserve"> HYPERLINK \l _Toc5387 </w:instrText>
      </w:r>
      <w:r>
        <w:rPr>
          <w:rFonts w:hint="eastAsia"/>
        </w:rPr>
        <w:fldChar w:fldCharType="separate"/>
      </w:r>
      <w:r>
        <w:rPr>
          <w:rFonts w:hint="eastAsia"/>
        </w:rPr>
        <w:t>第一条  投标须知</w:t>
      </w:r>
      <w:r>
        <w:tab/>
      </w:r>
      <w:r>
        <w:fldChar w:fldCharType="begin"/>
      </w:r>
      <w:r>
        <w:instrText xml:space="preserve"> PAGEREF _Toc5387 </w:instrText>
      </w:r>
      <w:r>
        <w:fldChar w:fldCharType="separate"/>
      </w:r>
      <w:r>
        <w:t>3</w:t>
      </w:r>
      <w:r>
        <w:fldChar w:fldCharType="end"/>
      </w:r>
      <w:r>
        <w:rPr>
          <w:rFonts w:hint="eastAsia"/>
        </w:rPr>
        <w:fldChar w:fldCharType="end"/>
      </w:r>
    </w:p>
    <w:p w14:paraId="7692C21C">
      <w:pPr>
        <w:pStyle w:val="10"/>
        <w:tabs>
          <w:tab w:val="right" w:leader="dot" w:pos="9746"/>
        </w:tabs>
        <w:ind w:left="480" w:firstLine="480"/>
      </w:pPr>
      <w:r>
        <w:rPr>
          <w:rFonts w:hint="eastAsia"/>
        </w:rPr>
        <w:fldChar w:fldCharType="begin"/>
      </w:r>
      <w:r>
        <w:rPr>
          <w:rFonts w:hint="eastAsia"/>
        </w:rPr>
        <w:instrText xml:space="preserve"> HYPERLINK \l _Toc30071 </w:instrText>
      </w:r>
      <w:r>
        <w:rPr>
          <w:rFonts w:hint="eastAsia"/>
        </w:rPr>
        <w:fldChar w:fldCharType="separate"/>
      </w:r>
      <w:r>
        <w:rPr>
          <w:rFonts w:hint="eastAsia"/>
        </w:rPr>
        <w:t>第二条  工程概况</w:t>
      </w:r>
      <w:r>
        <w:tab/>
      </w:r>
      <w:r>
        <w:fldChar w:fldCharType="begin"/>
      </w:r>
      <w:r>
        <w:instrText xml:space="preserve"> PAGEREF _Toc30071 </w:instrText>
      </w:r>
      <w:r>
        <w:fldChar w:fldCharType="separate"/>
      </w:r>
      <w:r>
        <w:t>4</w:t>
      </w:r>
      <w:r>
        <w:fldChar w:fldCharType="end"/>
      </w:r>
      <w:r>
        <w:rPr>
          <w:rFonts w:hint="eastAsia"/>
        </w:rPr>
        <w:fldChar w:fldCharType="end"/>
      </w:r>
    </w:p>
    <w:p w14:paraId="0B2A5D29">
      <w:pPr>
        <w:pStyle w:val="10"/>
        <w:tabs>
          <w:tab w:val="right" w:leader="dot" w:pos="9746"/>
        </w:tabs>
        <w:ind w:left="480" w:firstLine="480"/>
      </w:pPr>
      <w:r>
        <w:rPr>
          <w:rFonts w:hint="eastAsia"/>
        </w:rPr>
        <w:fldChar w:fldCharType="begin"/>
      </w:r>
      <w:r>
        <w:rPr>
          <w:rFonts w:hint="eastAsia"/>
        </w:rPr>
        <w:instrText xml:space="preserve"> HYPERLINK \l _Toc20871 </w:instrText>
      </w:r>
      <w:r>
        <w:rPr>
          <w:rFonts w:hint="eastAsia"/>
        </w:rPr>
        <w:fldChar w:fldCharType="separate"/>
      </w:r>
      <w:r>
        <w:rPr>
          <w:rFonts w:hint="eastAsia"/>
        </w:rPr>
        <w:t>第三条  项目期限</w:t>
      </w:r>
      <w:r>
        <w:tab/>
      </w:r>
      <w:r>
        <w:fldChar w:fldCharType="begin"/>
      </w:r>
      <w:r>
        <w:instrText xml:space="preserve"> PAGEREF _Toc20871 </w:instrText>
      </w:r>
      <w:r>
        <w:fldChar w:fldCharType="separate"/>
      </w:r>
      <w:r>
        <w:t>4</w:t>
      </w:r>
      <w:r>
        <w:fldChar w:fldCharType="end"/>
      </w:r>
      <w:r>
        <w:rPr>
          <w:rFonts w:hint="eastAsia"/>
        </w:rPr>
        <w:fldChar w:fldCharType="end"/>
      </w:r>
    </w:p>
    <w:p w14:paraId="1A37997F">
      <w:pPr>
        <w:pStyle w:val="10"/>
        <w:tabs>
          <w:tab w:val="right" w:leader="dot" w:pos="9746"/>
        </w:tabs>
        <w:ind w:left="480" w:firstLine="480"/>
      </w:pPr>
      <w:r>
        <w:rPr>
          <w:rFonts w:hint="eastAsia"/>
        </w:rPr>
        <w:fldChar w:fldCharType="begin"/>
      </w:r>
      <w:r>
        <w:rPr>
          <w:rFonts w:hint="eastAsia"/>
        </w:rPr>
        <w:instrText xml:space="preserve"> HYPERLINK \l _Toc11469 </w:instrText>
      </w:r>
      <w:r>
        <w:rPr>
          <w:rFonts w:hint="eastAsia"/>
        </w:rPr>
        <w:fldChar w:fldCharType="separate"/>
      </w:r>
      <w:r>
        <w:rPr>
          <w:rFonts w:hint="eastAsia"/>
        </w:rPr>
        <w:t>第四条  施工工地</w:t>
      </w:r>
      <w:r>
        <w:tab/>
      </w:r>
      <w:r>
        <w:rPr>
          <w:rFonts w:hint="eastAsia"/>
          <w:lang w:val="en-US" w:eastAsia="zh-CN"/>
        </w:rPr>
        <w:t>3</w:t>
      </w:r>
      <w:r>
        <w:rPr>
          <w:rFonts w:hint="eastAsia"/>
        </w:rPr>
        <w:fldChar w:fldCharType="end"/>
      </w:r>
    </w:p>
    <w:p w14:paraId="64CB79EC">
      <w:pPr>
        <w:pStyle w:val="10"/>
        <w:tabs>
          <w:tab w:val="right" w:leader="dot" w:pos="9746"/>
        </w:tabs>
        <w:ind w:left="480" w:firstLine="480"/>
      </w:pPr>
      <w:r>
        <w:rPr>
          <w:rFonts w:hint="eastAsia"/>
        </w:rPr>
        <w:fldChar w:fldCharType="begin"/>
      </w:r>
      <w:r>
        <w:rPr>
          <w:rFonts w:hint="eastAsia"/>
        </w:rPr>
        <w:instrText xml:space="preserve"> HYPERLINK \l _Toc22087 </w:instrText>
      </w:r>
      <w:r>
        <w:rPr>
          <w:rFonts w:hint="eastAsia"/>
        </w:rPr>
        <w:fldChar w:fldCharType="separate"/>
      </w:r>
      <w:r>
        <w:rPr>
          <w:rFonts w:hint="eastAsia"/>
        </w:rPr>
        <w:t>第五条  工程质量目标</w:t>
      </w:r>
      <w:r>
        <w:tab/>
      </w:r>
      <w:r>
        <w:fldChar w:fldCharType="begin"/>
      </w:r>
      <w:r>
        <w:instrText xml:space="preserve"> PAGEREF _Toc22087 </w:instrText>
      </w:r>
      <w:r>
        <w:fldChar w:fldCharType="separate"/>
      </w:r>
      <w:r>
        <w:t>5</w:t>
      </w:r>
      <w:r>
        <w:fldChar w:fldCharType="end"/>
      </w:r>
      <w:r>
        <w:rPr>
          <w:rFonts w:hint="eastAsia"/>
        </w:rPr>
        <w:fldChar w:fldCharType="end"/>
      </w:r>
    </w:p>
    <w:p w14:paraId="654E3C76">
      <w:pPr>
        <w:pStyle w:val="10"/>
        <w:tabs>
          <w:tab w:val="right" w:leader="dot" w:pos="9746"/>
        </w:tabs>
        <w:ind w:left="480" w:firstLine="480"/>
      </w:pPr>
      <w:r>
        <w:rPr>
          <w:rFonts w:hint="eastAsia"/>
        </w:rPr>
        <w:fldChar w:fldCharType="begin"/>
      </w:r>
      <w:r>
        <w:rPr>
          <w:rFonts w:hint="eastAsia"/>
        </w:rPr>
        <w:instrText xml:space="preserve"> HYPERLINK \l _Toc19174 </w:instrText>
      </w:r>
      <w:r>
        <w:rPr>
          <w:rFonts w:hint="eastAsia"/>
        </w:rPr>
        <w:fldChar w:fldCharType="separate"/>
      </w:r>
      <w:r>
        <w:rPr>
          <w:rFonts w:hint="eastAsia"/>
        </w:rPr>
        <w:t>第六条  投标保证金</w:t>
      </w:r>
      <w:r>
        <w:tab/>
      </w:r>
      <w:r>
        <w:fldChar w:fldCharType="begin"/>
      </w:r>
      <w:r>
        <w:instrText xml:space="preserve"> PAGEREF _Toc19174 </w:instrText>
      </w:r>
      <w:r>
        <w:fldChar w:fldCharType="separate"/>
      </w:r>
      <w:r>
        <w:t>5</w:t>
      </w:r>
      <w:r>
        <w:fldChar w:fldCharType="end"/>
      </w:r>
      <w:r>
        <w:rPr>
          <w:rFonts w:hint="eastAsia"/>
        </w:rPr>
        <w:fldChar w:fldCharType="end"/>
      </w:r>
    </w:p>
    <w:p w14:paraId="553C283C">
      <w:pPr>
        <w:pStyle w:val="10"/>
        <w:tabs>
          <w:tab w:val="right" w:leader="dot" w:pos="9746"/>
        </w:tabs>
        <w:ind w:left="480" w:firstLine="480"/>
      </w:pPr>
      <w:r>
        <w:rPr>
          <w:rFonts w:hint="eastAsia"/>
        </w:rPr>
        <w:fldChar w:fldCharType="begin"/>
      </w:r>
      <w:r>
        <w:rPr>
          <w:rFonts w:hint="eastAsia"/>
        </w:rPr>
        <w:instrText xml:space="preserve"> HYPERLINK \l _Toc28950 </w:instrText>
      </w:r>
      <w:r>
        <w:rPr>
          <w:rFonts w:hint="eastAsia"/>
        </w:rPr>
        <w:fldChar w:fldCharType="separate"/>
      </w:r>
      <w:r>
        <w:rPr>
          <w:rFonts w:hint="eastAsia"/>
        </w:rPr>
        <w:t>第七条  工程款支付方式</w:t>
      </w:r>
      <w:r>
        <w:tab/>
      </w:r>
      <w:r>
        <w:fldChar w:fldCharType="begin"/>
      </w:r>
      <w:r>
        <w:instrText xml:space="preserve"> PAGEREF _Toc28950 </w:instrText>
      </w:r>
      <w:r>
        <w:fldChar w:fldCharType="separate"/>
      </w:r>
      <w:r>
        <w:t>5</w:t>
      </w:r>
      <w:r>
        <w:fldChar w:fldCharType="end"/>
      </w:r>
      <w:r>
        <w:rPr>
          <w:rFonts w:hint="eastAsia"/>
        </w:rPr>
        <w:fldChar w:fldCharType="end"/>
      </w:r>
    </w:p>
    <w:p w14:paraId="798991B0">
      <w:pPr>
        <w:pStyle w:val="10"/>
        <w:tabs>
          <w:tab w:val="right" w:leader="dot" w:pos="9746"/>
        </w:tabs>
        <w:ind w:left="480" w:firstLine="480"/>
        <w:rPr>
          <w:rFonts w:hint="eastAsia"/>
        </w:rPr>
      </w:pPr>
      <w:r>
        <w:rPr>
          <w:rFonts w:hint="eastAsia"/>
        </w:rPr>
        <w:fldChar w:fldCharType="begin"/>
      </w:r>
      <w:r>
        <w:rPr>
          <w:rFonts w:hint="eastAsia"/>
        </w:rPr>
        <w:instrText xml:space="preserve"> HYPERLINK \l _Toc11473 </w:instrText>
      </w:r>
      <w:r>
        <w:rPr>
          <w:rFonts w:hint="eastAsia"/>
        </w:rPr>
        <w:fldChar w:fldCharType="separate"/>
      </w:r>
      <w:r>
        <w:rPr>
          <w:rFonts w:hint="eastAsia"/>
        </w:rPr>
        <w:t>第八条  商务报价须知</w:t>
      </w:r>
      <w:r>
        <w:tab/>
      </w:r>
      <w:r>
        <w:rPr>
          <w:rFonts w:hint="eastAsia"/>
          <w:lang w:val="en-US" w:eastAsia="zh-CN"/>
        </w:rPr>
        <w:t>4</w:t>
      </w:r>
      <w:r>
        <w:rPr>
          <w:rFonts w:hint="eastAsia"/>
        </w:rPr>
        <w:fldChar w:fldCharType="end"/>
      </w:r>
    </w:p>
    <w:p w14:paraId="075EA781">
      <w:pPr>
        <w:pStyle w:val="10"/>
        <w:tabs>
          <w:tab w:val="right" w:leader="dot" w:pos="9746"/>
        </w:tabs>
        <w:ind w:left="480" w:firstLine="480"/>
      </w:pPr>
      <w:r>
        <w:rPr>
          <w:rFonts w:hint="eastAsia"/>
        </w:rPr>
        <w:fldChar w:fldCharType="begin"/>
      </w:r>
      <w:r>
        <w:rPr>
          <w:rFonts w:hint="eastAsia"/>
        </w:rPr>
        <w:instrText xml:space="preserve"> HYPERLINK \l _Toc32619 </w:instrText>
      </w:r>
      <w:r>
        <w:rPr>
          <w:rFonts w:hint="eastAsia"/>
        </w:rPr>
        <w:fldChar w:fldCharType="separate"/>
      </w:r>
      <w:r>
        <w:rPr>
          <w:rFonts w:hint="eastAsia"/>
        </w:rPr>
        <w:t>第九条  工程</w:t>
      </w:r>
      <w:r>
        <w:rPr>
          <w:rFonts w:hint="eastAsia"/>
          <w:lang w:val="en-US" w:eastAsia="zh-CN"/>
        </w:rPr>
        <w:t>技术相关要</w:t>
      </w:r>
      <w:r>
        <w:rPr>
          <w:rFonts w:hint="eastAsia"/>
        </w:rPr>
        <w:t>求</w:t>
      </w:r>
      <w:r>
        <w:tab/>
      </w:r>
      <w:r>
        <w:fldChar w:fldCharType="begin"/>
      </w:r>
      <w:r>
        <w:instrText xml:space="preserve"> PAGEREF _Toc32619 </w:instrText>
      </w:r>
      <w:r>
        <w:fldChar w:fldCharType="separate"/>
      </w:r>
      <w:r>
        <w:t>6</w:t>
      </w:r>
      <w:r>
        <w:fldChar w:fldCharType="end"/>
      </w:r>
      <w:r>
        <w:rPr>
          <w:rFonts w:hint="eastAsia"/>
        </w:rPr>
        <w:fldChar w:fldCharType="end"/>
      </w:r>
    </w:p>
    <w:p w14:paraId="32511355">
      <w:pPr>
        <w:pStyle w:val="10"/>
        <w:tabs>
          <w:tab w:val="right" w:leader="dot" w:pos="9746"/>
        </w:tabs>
        <w:ind w:left="480" w:firstLine="480"/>
      </w:pPr>
      <w:r>
        <w:rPr>
          <w:rFonts w:hint="eastAsia"/>
        </w:rPr>
        <w:fldChar w:fldCharType="begin"/>
      </w:r>
      <w:r>
        <w:rPr>
          <w:rFonts w:hint="eastAsia"/>
        </w:rPr>
        <w:instrText xml:space="preserve"> HYPERLINK \l _Toc32619 </w:instrText>
      </w:r>
      <w:r>
        <w:rPr>
          <w:rFonts w:hint="eastAsia"/>
        </w:rPr>
        <w:fldChar w:fldCharType="separate"/>
      </w:r>
      <w:r>
        <w:rPr>
          <w:rFonts w:hint="eastAsia"/>
        </w:rPr>
        <w:t>第</w:t>
      </w:r>
      <w:r>
        <w:rPr>
          <w:rFonts w:hint="eastAsia"/>
          <w:lang w:val="en-US" w:eastAsia="zh-CN"/>
        </w:rPr>
        <w:t>十</w:t>
      </w:r>
      <w:r>
        <w:rPr>
          <w:rFonts w:hint="eastAsia"/>
        </w:rPr>
        <w:t>条  工程承包要求</w:t>
      </w:r>
      <w:r>
        <w:tab/>
      </w:r>
      <w:r>
        <w:rPr>
          <w:rFonts w:hint="eastAsia"/>
          <w:lang w:val="en-US" w:eastAsia="zh-CN"/>
        </w:rPr>
        <w:t>6</w:t>
      </w:r>
      <w:r>
        <w:rPr>
          <w:rFonts w:hint="eastAsia"/>
        </w:rPr>
        <w:fldChar w:fldCharType="end"/>
      </w:r>
    </w:p>
    <w:p w14:paraId="7BCADA81">
      <w:pPr>
        <w:pStyle w:val="10"/>
        <w:tabs>
          <w:tab w:val="right" w:leader="dot" w:pos="9746"/>
        </w:tabs>
        <w:ind w:left="480" w:firstLine="480"/>
      </w:pPr>
      <w:r>
        <w:rPr>
          <w:rFonts w:hint="eastAsia"/>
        </w:rPr>
        <w:fldChar w:fldCharType="begin"/>
      </w:r>
      <w:r>
        <w:rPr>
          <w:rFonts w:hint="eastAsia"/>
        </w:rPr>
        <w:instrText xml:space="preserve"> HYPERLINK \l _Toc1070 </w:instrText>
      </w:r>
      <w:r>
        <w:rPr>
          <w:rFonts w:hint="eastAsia"/>
        </w:rPr>
        <w:fldChar w:fldCharType="separate"/>
      </w:r>
      <w:r>
        <w:rPr>
          <w:rFonts w:hint="eastAsia"/>
        </w:rPr>
        <w:t>第十</w:t>
      </w:r>
      <w:r>
        <w:rPr>
          <w:rFonts w:hint="eastAsia"/>
          <w:lang w:val="en-US" w:eastAsia="zh-CN"/>
        </w:rPr>
        <w:t>一</w:t>
      </w:r>
      <w:r>
        <w:rPr>
          <w:rFonts w:hint="eastAsia"/>
        </w:rPr>
        <w:t>条  评标原则</w:t>
      </w:r>
      <w:r>
        <w:tab/>
      </w:r>
      <w:r>
        <w:rPr>
          <w:rFonts w:hint="eastAsia"/>
          <w:lang w:val="en-US" w:eastAsia="zh-CN"/>
        </w:rPr>
        <w:t>6</w:t>
      </w:r>
      <w:r>
        <w:rPr>
          <w:rFonts w:hint="eastAsia"/>
        </w:rPr>
        <w:fldChar w:fldCharType="end"/>
      </w:r>
    </w:p>
    <w:p w14:paraId="139604DB">
      <w:pPr>
        <w:pStyle w:val="10"/>
        <w:tabs>
          <w:tab w:val="right" w:leader="dot" w:pos="9746"/>
        </w:tabs>
        <w:ind w:left="480" w:firstLine="480"/>
      </w:pPr>
      <w:r>
        <w:rPr>
          <w:rFonts w:hint="eastAsia"/>
        </w:rPr>
        <w:fldChar w:fldCharType="begin"/>
      </w:r>
      <w:r>
        <w:rPr>
          <w:rFonts w:hint="eastAsia"/>
        </w:rPr>
        <w:instrText xml:space="preserve"> HYPERLINK \l _Toc5732 </w:instrText>
      </w:r>
      <w:r>
        <w:rPr>
          <w:rFonts w:hint="eastAsia"/>
        </w:rPr>
        <w:fldChar w:fldCharType="separate"/>
      </w:r>
      <w:r>
        <w:rPr>
          <w:rFonts w:hint="eastAsia"/>
        </w:rPr>
        <w:t>第十</w:t>
      </w:r>
      <w:r>
        <w:rPr>
          <w:rFonts w:hint="eastAsia"/>
          <w:lang w:val="en-US" w:eastAsia="zh-CN"/>
        </w:rPr>
        <w:t>二</w:t>
      </w:r>
      <w:r>
        <w:rPr>
          <w:rFonts w:hint="eastAsia"/>
        </w:rPr>
        <w:t>条  投标日程安排</w:t>
      </w:r>
      <w:r>
        <w:tab/>
      </w:r>
      <w:r>
        <w:fldChar w:fldCharType="begin"/>
      </w:r>
      <w:r>
        <w:instrText xml:space="preserve"> PAGEREF _Toc5732 </w:instrText>
      </w:r>
      <w:r>
        <w:fldChar w:fldCharType="separate"/>
      </w:r>
      <w:r>
        <w:t>7</w:t>
      </w:r>
      <w:r>
        <w:fldChar w:fldCharType="end"/>
      </w:r>
      <w:r>
        <w:rPr>
          <w:rFonts w:hint="eastAsia"/>
        </w:rPr>
        <w:fldChar w:fldCharType="end"/>
      </w:r>
    </w:p>
    <w:p w14:paraId="2B9FE09F">
      <w:pPr>
        <w:pStyle w:val="10"/>
        <w:tabs>
          <w:tab w:val="right" w:leader="dot" w:pos="9746"/>
        </w:tabs>
        <w:ind w:left="480" w:firstLine="480"/>
        <w:rPr>
          <w:rFonts w:hint="eastAsia"/>
        </w:rPr>
      </w:pPr>
      <w:r>
        <w:rPr>
          <w:rFonts w:hint="eastAsia"/>
        </w:rPr>
        <w:fldChar w:fldCharType="begin"/>
      </w:r>
      <w:r>
        <w:rPr>
          <w:rFonts w:hint="eastAsia"/>
        </w:rPr>
        <w:instrText xml:space="preserve"> HYPERLINK \l _Toc31664 </w:instrText>
      </w:r>
      <w:r>
        <w:rPr>
          <w:rFonts w:hint="eastAsia"/>
        </w:rPr>
        <w:fldChar w:fldCharType="separate"/>
      </w:r>
      <w:r>
        <w:rPr>
          <w:rFonts w:hint="eastAsia"/>
        </w:rPr>
        <w:t>第十</w:t>
      </w:r>
      <w:r>
        <w:rPr>
          <w:rFonts w:hint="eastAsia"/>
          <w:lang w:val="en-US" w:eastAsia="zh-CN"/>
        </w:rPr>
        <w:t>三</w:t>
      </w:r>
      <w:r>
        <w:rPr>
          <w:rFonts w:hint="eastAsia"/>
        </w:rPr>
        <w:t>条  其他</w:t>
      </w:r>
      <w:r>
        <w:tab/>
      </w:r>
      <w:r>
        <w:fldChar w:fldCharType="begin"/>
      </w:r>
      <w:r>
        <w:instrText xml:space="preserve"> PAGEREF _Toc31664 </w:instrText>
      </w:r>
      <w:r>
        <w:fldChar w:fldCharType="separate"/>
      </w:r>
      <w:r>
        <w:t>7</w:t>
      </w:r>
      <w:r>
        <w:fldChar w:fldCharType="end"/>
      </w:r>
      <w:r>
        <w:rPr>
          <w:rFonts w:hint="eastAsia"/>
        </w:rPr>
        <w:fldChar w:fldCharType="end"/>
      </w:r>
    </w:p>
    <w:p w14:paraId="2F79BE51">
      <w:pPr>
        <w:ind w:firstLine="480"/>
        <w:jc w:val="both"/>
        <w:rPr>
          <w:rFonts w:hint="eastAsia"/>
        </w:rPr>
      </w:pPr>
      <w:r>
        <w:rPr>
          <w:rFonts w:hint="eastAsia"/>
        </w:rPr>
        <w:fldChar w:fldCharType="end"/>
      </w:r>
    </w:p>
    <w:p w14:paraId="35538C35">
      <w:pPr>
        <w:pStyle w:val="2"/>
        <w:ind w:firstLine="600"/>
        <w:rPr>
          <w:rFonts w:hint="eastAsia"/>
          <w:b w:val="0"/>
          <w:sz w:val="30"/>
          <w:szCs w:val="30"/>
        </w:rPr>
      </w:pPr>
      <w:r>
        <w:rPr>
          <w:rFonts w:hint="eastAsia"/>
          <w:b w:val="0"/>
          <w:sz w:val="30"/>
          <w:szCs w:val="30"/>
        </w:rPr>
        <w:br w:type="page"/>
      </w:r>
      <w:bookmarkStart w:id="3" w:name="_Toc24565"/>
      <w:bookmarkStart w:id="4" w:name="_Toc22277"/>
      <w:bookmarkStart w:id="5" w:name="_Toc563"/>
      <w:r>
        <w:rPr>
          <w:rStyle w:val="15"/>
          <w:rFonts w:hint="eastAsia"/>
          <w:b/>
        </w:rPr>
        <w:t>第一章   施工招标文件</w:t>
      </w:r>
      <w:bookmarkEnd w:id="0"/>
      <w:bookmarkEnd w:id="1"/>
      <w:bookmarkEnd w:id="2"/>
      <w:bookmarkEnd w:id="3"/>
      <w:bookmarkEnd w:id="4"/>
      <w:bookmarkEnd w:id="5"/>
    </w:p>
    <w:p w14:paraId="13A8EE34">
      <w:pPr>
        <w:pStyle w:val="3"/>
        <w:rPr>
          <w:rFonts w:hint="eastAsia"/>
        </w:rPr>
      </w:pPr>
      <w:bookmarkStart w:id="6" w:name="_Toc373069473"/>
      <w:bookmarkStart w:id="7" w:name="_Toc5387"/>
      <w:bookmarkStart w:id="8" w:name="_Toc370219563"/>
      <w:bookmarkStart w:id="9" w:name="_Toc373069581"/>
      <w:bookmarkStart w:id="10" w:name="_Toc18293"/>
      <w:bookmarkStart w:id="11" w:name="_Toc19752"/>
      <w:r>
        <w:rPr>
          <w:rFonts w:hint="eastAsia"/>
        </w:rPr>
        <w:t>第一条  投标须知</w:t>
      </w:r>
      <w:bookmarkEnd w:id="6"/>
      <w:bookmarkEnd w:id="7"/>
      <w:bookmarkEnd w:id="8"/>
      <w:bookmarkEnd w:id="9"/>
      <w:bookmarkEnd w:id="10"/>
      <w:bookmarkEnd w:id="11"/>
    </w:p>
    <w:p w14:paraId="1E85C5EB">
      <w:pPr>
        <w:ind w:firstLine="480"/>
        <w:rPr>
          <w:rFonts w:hint="eastAsia"/>
        </w:rPr>
      </w:pPr>
      <w:r>
        <w:rPr>
          <w:rFonts w:hint="eastAsia"/>
        </w:rPr>
        <w:t>1.1. 凡参加本次</w:t>
      </w:r>
      <w:r>
        <w:rPr>
          <w:rFonts w:hint="eastAsia"/>
          <w:u w:val="single"/>
        </w:rPr>
        <w:t xml:space="preserve"> </w:t>
      </w:r>
      <w:r>
        <w:rPr>
          <w:rFonts w:hint="eastAsia"/>
          <w:u w:val="single"/>
          <w:lang w:val="en-US" w:eastAsia="zh-CN"/>
        </w:rPr>
        <w:t>宝丰酒业有限公司装酒车间金刚砂、聚氨酯地面项目</w:t>
      </w:r>
      <w:r>
        <w:rPr>
          <w:rFonts w:hint="eastAsia"/>
          <w:u w:val="single"/>
        </w:rPr>
        <w:t xml:space="preserve"> </w:t>
      </w:r>
      <w:r>
        <w:rPr>
          <w:rFonts w:hint="eastAsia"/>
        </w:rPr>
        <w:t>的投标者，必须已通过资格预审，且已收到招标邀请书的单位。</w:t>
      </w:r>
    </w:p>
    <w:p w14:paraId="12D22BDB">
      <w:pPr>
        <w:ind w:firstLine="480"/>
        <w:rPr>
          <w:rFonts w:hint="eastAsia"/>
        </w:rPr>
      </w:pPr>
      <w:r>
        <w:rPr>
          <w:rFonts w:hint="eastAsia"/>
        </w:rPr>
        <w:t>1.2.  不论投标的结果如何，投标单位应承担编制和提交投标文件的全部费用，招标单位对这些费用一概不负任何责任。</w:t>
      </w:r>
    </w:p>
    <w:p w14:paraId="194F6AF4">
      <w:pPr>
        <w:ind w:firstLine="480"/>
        <w:rPr>
          <w:rFonts w:hint="eastAsia"/>
        </w:rPr>
      </w:pPr>
      <w:r>
        <w:rPr>
          <w:rFonts w:hint="eastAsia"/>
        </w:rPr>
        <w:t>1.3.  本施工招标文件及答疑书面文件是投标单位编制投标书的重要依据，也是日后签订合同的重要依据。与中标单位的中标通知书同为合同附件，具有相应的法律效力，望投标单位予以重视。</w:t>
      </w:r>
    </w:p>
    <w:p w14:paraId="154B1274">
      <w:pPr>
        <w:ind w:firstLine="480"/>
        <w:rPr>
          <w:rFonts w:hint="eastAsia"/>
        </w:rPr>
      </w:pPr>
      <w:r>
        <w:rPr>
          <w:rFonts w:hint="eastAsia"/>
        </w:rPr>
        <w:t>1.4.  投标单位应认真踏勘施工现场，熟悉现场地形、道路和地表、周围环境，了解一切可能影响施工、投标报价的因素。但投标单位必须对所获资料、信息的正确性负全部责任，且所需费用由投标单位自理。一旦中标，投标单位不得以不完全了解施工现场为借口，而提出额外赔偿，或延长工期的要求。若提出此类要求，招标单位不做任何考虑。</w:t>
      </w:r>
    </w:p>
    <w:p w14:paraId="57ED24A8">
      <w:pPr>
        <w:ind w:firstLine="480"/>
        <w:rPr>
          <w:rFonts w:hint="eastAsia"/>
        </w:rPr>
      </w:pPr>
      <w:r>
        <w:rPr>
          <w:rFonts w:hint="eastAsia"/>
        </w:rPr>
        <w:t>1.5.  投标单位拟采用的竞争措施应在投标书内详细列明，并在投标书中有关报价中予以说明不计或减免。</w:t>
      </w:r>
    </w:p>
    <w:p w14:paraId="548CF620">
      <w:pPr>
        <w:ind w:firstLine="480"/>
        <w:rPr>
          <w:rFonts w:hint="eastAsia"/>
        </w:rPr>
      </w:pPr>
      <w:r>
        <w:rPr>
          <w:rFonts w:hint="eastAsia"/>
        </w:rPr>
        <w:t>1.6.  投标单位在参加本工程招标活动中，必须由本企业的法定代表人或授权委托人及工程项目经理、预算员参加。不得委派其它施工单位的人员参加，若有发现均按中途退标处理。</w:t>
      </w:r>
    </w:p>
    <w:p w14:paraId="05A714CC">
      <w:pPr>
        <w:ind w:firstLine="480"/>
        <w:rPr>
          <w:rFonts w:hint="eastAsia"/>
        </w:rPr>
      </w:pPr>
      <w:r>
        <w:rPr>
          <w:rFonts w:hint="eastAsia"/>
        </w:rPr>
        <w:t>1.7.  投标单位应按招标文件规定的日程安排，准时参加本工程的招标各项活动，如缺席按废标处理。</w:t>
      </w:r>
    </w:p>
    <w:p w14:paraId="7E704877">
      <w:pPr>
        <w:ind w:firstLine="480"/>
        <w:rPr>
          <w:rFonts w:hint="eastAsia"/>
        </w:rPr>
      </w:pPr>
      <w:r>
        <w:rPr>
          <w:rFonts w:hint="eastAsia"/>
        </w:rPr>
        <w:t>1.8.  投标单位在收到我方发出的通知、文件后，应在我方规定的时间内以书面形式通知我方，确认已收到该通知、文件。</w:t>
      </w:r>
    </w:p>
    <w:p w14:paraId="2365CB8F">
      <w:pPr>
        <w:ind w:firstLine="480"/>
        <w:rPr>
          <w:rFonts w:hint="eastAsia"/>
        </w:rPr>
      </w:pPr>
      <w:r>
        <w:rPr>
          <w:rFonts w:hint="eastAsia"/>
        </w:rPr>
        <w:t>1.9.  投标文件由投标单位编制，投标单位已被视为巨细无疑地审查全部招标、投标文件后才提交，所以投标单位需对投标文件负全部责任。</w:t>
      </w:r>
    </w:p>
    <w:p w14:paraId="3D8C3D1B">
      <w:pPr>
        <w:ind w:firstLine="480"/>
        <w:rPr>
          <w:rFonts w:hint="eastAsia"/>
        </w:rPr>
      </w:pPr>
      <w:r>
        <w:rPr>
          <w:rFonts w:hint="eastAsia"/>
        </w:rPr>
        <w:t>1.10.  开标之后，若招标单位发现投标单位提交的投标文件中有任何错误、标价不一致或明显过高过低或其他不清楚的问题，招标单位可以提出询问，投标单位只可提出遵守其投标文件或撤销投标文件。</w:t>
      </w:r>
    </w:p>
    <w:p w14:paraId="1102BB86">
      <w:pPr>
        <w:ind w:firstLine="480"/>
        <w:rPr>
          <w:rFonts w:hint="eastAsia"/>
        </w:rPr>
      </w:pPr>
      <w:r>
        <w:rPr>
          <w:rFonts w:hint="eastAsia"/>
        </w:rPr>
        <w:t xml:space="preserve">1.11.  投标单位对本文件如有异议，收到本招标文件 </w:t>
      </w:r>
      <w:r>
        <w:rPr>
          <w:rFonts w:hint="eastAsia"/>
          <w:lang w:val="en-US" w:eastAsia="zh-CN"/>
        </w:rPr>
        <w:t>2</w:t>
      </w:r>
      <w:r>
        <w:rPr>
          <w:rFonts w:hint="eastAsia"/>
        </w:rPr>
        <w:t xml:space="preserve"> 天内书面通知招标单位，招标单位给以书面答疑，异议部分以招标单位书面答疑为准。投标单位未提出异议部分，被视为投标单位已完全认可，中标后不得籍任何借口要求变更、索赔及补偿。</w:t>
      </w:r>
    </w:p>
    <w:p w14:paraId="42BA1994">
      <w:pPr>
        <w:ind w:firstLine="480"/>
        <w:rPr>
          <w:rFonts w:hint="eastAsia"/>
        </w:rPr>
      </w:pPr>
      <w:r>
        <w:rPr>
          <w:rFonts w:hint="eastAsia"/>
        </w:rPr>
        <w:t>1.12.  本工程中标单位确定的项目经理，必须是中标单位提供的考察项目的项目经理，否则，招标单位在中标单位进场后有权终止合同，中标单位必须无条件退场，并承担由此造成的一切损失。</w:t>
      </w:r>
    </w:p>
    <w:p w14:paraId="3DE70D07">
      <w:pPr>
        <w:ind w:firstLine="480"/>
        <w:rPr>
          <w:rFonts w:hint="eastAsia"/>
        </w:rPr>
      </w:pPr>
      <w:r>
        <w:rPr>
          <w:rFonts w:hint="eastAsia"/>
        </w:rPr>
        <w:t>1.13.  本工程若由于中标方原因造成的合同终止进行清算时，清算方法参照招标单位相关规定办理。</w:t>
      </w:r>
    </w:p>
    <w:p w14:paraId="510752A5">
      <w:pPr>
        <w:ind w:firstLine="480"/>
        <w:rPr>
          <w:rFonts w:hint="eastAsia"/>
        </w:rPr>
      </w:pPr>
      <w:r>
        <w:rPr>
          <w:rFonts w:hint="eastAsia"/>
        </w:rPr>
        <w:t>1.14.  联系人及联系方式：</w:t>
      </w:r>
    </w:p>
    <w:p w14:paraId="477ED4C8">
      <w:pPr>
        <w:ind w:firstLine="480"/>
        <w:rPr>
          <w:rFonts w:hint="default" w:eastAsia="宋体"/>
          <w:color w:val="auto"/>
          <w:highlight w:val="red"/>
          <w:u w:val="single"/>
          <w:lang w:val="en-US" w:eastAsia="zh-CN"/>
        </w:rPr>
      </w:pPr>
      <w:r>
        <w:rPr>
          <w:rFonts w:hint="eastAsia"/>
        </w:rPr>
        <w:t xml:space="preserve">财务部： </w:t>
      </w:r>
      <w:r>
        <w:rPr>
          <w:rFonts w:hint="eastAsia"/>
          <w:lang w:val="en-US" w:eastAsia="zh-CN"/>
        </w:rPr>
        <w:t xml:space="preserve">  张田格 15503757989 </w:t>
      </w:r>
    </w:p>
    <w:p w14:paraId="4DCDCA77">
      <w:pPr>
        <w:ind w:firstLine="480"/>
        <w:rPr>
          <w:rFonts w:hint="default" w:eastAsia="宋体"/>
          <w:lang w:val="en-US" w:eastAsia="zh-CN"/>
        </w:rPr>
      </w:pPr>
      <w:r>
        <w:rPr>
          <w:rFonts w:hint="eastAsia"/>
        </w:rPr>
        <w:t xml:space="preserve">基建部：   </w:t>
      </w:r>
      <w:r>
        <w:rPr>
          <w:rFonts w:hint="eastAsia"/>
          <w:lang w:val="en-US" w:eastAsia="zh-CN"/>
        </w:rPr>
        <w:t>王胜俊 15639955825</w:t>
      </w:r>
    </w:p>
    <w:p w14:paraId="2EA89D90">
      <w:pPr>
        <w:pStyle w:val="3"/>
        <w:rPr>
          <w:rFonts w:hint="eastAsia"/>
        </w:rPr>
      </w:pPr>
      <w:bookmarkStart w:id="12" w:name="_Toc16318"/>
      <w:bookmarkStart w:id="13" w:name="_Toc373069582"/>
      <w:bookmarkStart w:id="14" w:name="_Toc30071"/>
      <w:bookmarkStart w:id="15" w:name="_Toc373069474"/>
      <w:bookmarkStart w:id="16" w:name="_Toc19149"/>
      <w:bookmarkStart w:id="17" w:name="_Toc370219564"/>
      <w:r>
        <w:rPr>
          <w:rFonts w:hint="eastAsia"/>
        </w:rPr>
        <w:t>第二条  工程概况</w:t>
      </w:r>
      <w:bookmarkEnd w:id="12"/>
      <w:bookmarkEnd w:id="13"/>
      <w:bookmarkEnd w:id="14"/>
      <w:bookmarkEnd w:id="15"/>
      <w:bookmarkEnd w:id="16"/>
      <w:bookmarkEnd w:id="17"/>
    </w:p>
    <w:p w14:paraId="3BA0E029">
      <w:pPr>
        <w:ind w:firstLine="480"/>
        <w:rPr>
          <w:rFonts w:hint="eastAsia"/>
        </w:rPr>
      </w:pPr>
      <w:r>
        <w:rPr>
          <w:rFonts w:hint="eastAsia"/>
        </w:rPr>
        <w:t>2.1  工程名称：</w:t>
      </w:r>
      <w:r>
        <w:rPr>
          <w:rFonts w:hint="eastAsia"/>
          <w:u w:val="single"/>
          <w:lang w:val="en-US" w:eastAsia="zh-CN"/>
        </w:rPr>
        <w:t>宝丰酒业有限公司装酒车间金刚砂、聚氨酯地面项目</w:t>
      </w:r>
    </w:p>
    <w:p w14:paraId="2D68EAAF">
      <w:pPr>
        <w:ind w:firstLine="480"/>
        <w:rPr>
          <w:rFonts w:hint="default" w:eastAsia="宋体"/>
          <w:lang w:val="en-US" w:eastAsia="zh-CN"/>
        </w:rPr>
      </w:pPr>
      <w:r>
        <w:rPr>
          <w:rFonts w:hint="eastAsia"/>
        </w:rPr>
        <w:t>2.2  工程地点：</w:t>
      </w:r>
      <w:r>
        <w:rPr>
          <w:rFonts w:hint="eastAsia"/>
          <w:lang w:val="en-US" w:eastAsia="zh-CN"/>
        </w:rPr>
        <w:t>宝丰酒业有限公司院内</w:t>
      </w:r>
    </w:p>
    <w:p w14:paraId="7D246481">
      <w:pPr>
        <w:ind w:firstLine="480"/>
        <w:rPr>
          <w:rFonts w:hint="default" w:eastAsia="宋体"/>
          <w:lang w:val="en-US" w:eastAsia="zh-CN"/>
        </w:rPr>
      </w:pPr>
      <w:r>
        <w:rPr>
          <w:rFonts w:hint="eastAsia"/>
        </w:rPr>
        <w:t>2.</w:t>
      </w:r>
      <w:r>
        <w:rPr>
          <w:rFonts w:hint="eastAsia"/>
          <w:lang w:val="en-US" w:eastAsia="zh-CN"/>
        </w:rPr>
        <w:t>3</w:t>
      </w:r>
      <w:r>
        <w:rPr>
          <w:rFonts w:hint="eastAsia"/>
        </w:rPr>
        <w:t xml:space="preserve">  工程承包范围：</w:t>
      </w:r>
      <w:r>
        <w:rPr>
          <w:rFonts w:hint="eastAsia"/>
          <w:lang w:val="en-US" w:eastAsia="zh-CN"/>
        </w:rPr>
        <w:t>装酒车间物流通道以及外包拆包区金刚砂地面；一更以及走廊参观走道等聚氨酯地面施工项目。</w:t>
      </w:r>
    </w:p>
    <w:p w14:paraId="72242DAB">
      <w:pPr>
        <w:tabs>
          <w:tab w:val="left" w:pos="1990"/>
        </w:tabs>
        <w:spacing w:line="450" w:lineRule="exact"/>
        <w:ind w:firstLine="480"/>
        <w:rPr>
          <w:rFonts w:hint="eastAsia"/>
        </w:rPr>
      </w:pPr>
    </w:p>
    <w:p w14:paraId="60DC519A">
      <w:pPr>
        <w:pStyle w:val="3"/>
        <w:rPr>
          <w:rFonts w:hint="eastAsia"/>
        </w:rPr>
      </w:pPr>
      <w:bookmarkStart w:id="18" w:name="_Toc6126"/>
      <w:bookmarkStart w:id="19" w:name="_Toc370219565"/>
      <w:bookmarkStart w:id="20" w:name="_Toc7407"/>
      <w:bookmarkStart w:id="21" w:name="_Toc373069475"/>
      <w:bookmarkStart w:id="22" w:name="_Toc373069583"/>
      <w:bookmarkStart w:id="23" w:name="_Toc20871"/>
      <w:r>
        <w:rPr>
          <w:rFonts w:hint="eastAsia"/>
        </w:rPr>
        <w:t xml:space="preserve">第三条  </w:t>
      </w:r>
      <w:bookmarkEnd w:id="18"/>
      <w:bookmarkEnd w:id="19"/>
      <w:bookmarkEnd w:id="20"/>
      <w:bookmarkEnd w:id="21"/>
      <w:bookmarkEnd w:id="22"/>
      <w:r>
        <w:rPr>
          <w:rFonts w:hint="eastAsia"/>
        </w:rPr>
        <w:t>项目期限</w:t>
      </w:r>
      <w:bookmarkEnd w:id="23"/>
    </w:p>
    <w:p w14:paraId="174E3C02">
      <w:pPr>
        <w:ind w:firstLine="480"/>
        <w:rPr>
          <w:rFonts w:hint="eastAsia"/>
        </w:rPr>
      </w:pPr>
      <w:bookmarkStart w:id="24" w:name="_Toc373069584"/>
      <w:bookmarkStart w:id="25" w:name="_Toc12981"/>
      <w:bookmarkStart w:id="26" w:name="_Toc370219566"/>
      <w:bookmarkStart w:id="27" w:name="_Toc13558"/>
      <w:bookmarkStart w:id="28" w:name="_Toc373069476"/>
      <w:r>
        <w:rPr>
          <w:rFonts w:hint="eastAsia"/>
        </w:rPr>
        <w:t xml:space="preserve">3.1  </w:t>
      </w:r>
      <w:r>
        <w:rPr>
          <w:rFonts w:hint="eastAsia"/>
          <w:lang w:val="en-US" w:eastAsia="zh-CN"/>
        </w:rPr>
        <w:t>合同签订后40天内完工</w:t>
      </w:r>
      <w:r>
        <w:rPr>
          <w:rFonts w:hint="eastAsia"/>
        </w:rPr>
        <w:t>；</w:t>
      </w:r>
    </w:p>
    <w:p w14:paraId="5F2EE80D">
      <w:pPr>
        <w:pStyle w:val="3"/>
        <w:rPr>
          <w:rFonts w:hint="eastAsia"/>
        </w:rPr>
      </w:pPr>
      <w:bookmarkStart w:id="29" w:name="_Toc11469"/>
      <w:r>
        <w:rPr>
          <w:rFonts w:hint="eastAsia"/>
        </w:rPr>
        <w:t>第四条  施工工地</w:t>
      </w:r>
      <w:bookmarkEnd w:id="24"/>
      <w:bookmarkEnd w:id="25"/>
      <w:bookmarkEnd w:id="26"/>
      <w:bookmarkEnd w:id="27"/>
      <w:bookmarkEnd w:id="28"/>
      <w:bookmarkEnd w:id="29"/>
    </w:p>
    <w:p w14:paraId="4F60EACB">
      <w:pPr>
        <w:ind w:firstLine="480"/>
        <w:rPr>
          <w:rFonts w:hint="eastAsia"/>
        </w:rPr>
      </w:pPr>
      <w:bookmarkStart w:id="30" w:name="_Toc7882"/>
      <w:bookmarkStart w:id="31" w:name="_Toc6349"/>
      <w:bookmarkStart w:id="32" w:name="_Toc370219567"/>
      <w:bookmarkStart w:id="33" w:name="_Toc373069477"/>
      <w:bookmarkStart w:id="34" w:name="_Toc373069585"/>
      <w:r>
        <w:rPr>
          <w:rFonts w:hint="eastAsia"/>
        </w:rPr>
        <w:t>4.1  安全文明施工应满足属地建设主管部门的相关要求。现场不允许搭设</w:t>
      </w:r>
      <w:r>
        <w:rPr>
          <w:rFonts w:hint="eastAsia"/>
          <w:lang w:val="en-US" w:eastAsia="zh-CN"/>
        </w:rPr>
        <w:t>临建</w:t>
      </w:r>
      <w:r>
        <w:rPr>
          <w:rFonts w:hint="eastAsia"/>
        </w:rPr>
        <w:t>，施工期间配合</w:t>
      </w:r>
      <w:r>
        <w:rPr>
          <w:rFonts w:hint="eastAsia"/>
          <w:lang w:val="en-US" w:eastAsia="zh-CN"/>
        </w:rPr>
        <w:t>厂区内安全文明施工相关要求的</w:t>
      </w:r>
      <w:r>
        <w:rPr>
          <w:rFonts w:hint="eastAsia"/>
        </w:rPr>
        <w:t>所有费用，报价中需综合考虑，建设单位不给予索赔。</w:t>
      </w:r>
    </w:p>
    <w:p w14:paraId="74D1B38B">
      <w:pPr>
        <w:ind w:firstLine="480"/>
        <w:rPr>
          <w:rFonts w:hint="eastAsia"/>
        </w:rPr>
      </w:pPr>
      <w:r>
        <w:rPr>
          <w:rFonts w:hint="eastAsia"/>
        </w:rPr>
        <w:t>4.2  中标施工单位承担施工过程中一切安全事故责任及连带的法律责任。</w:t>
      </w:r>
    </w:p>
    <w:p w14:paraId="160E2667">
      <w:pPr>
        <w:pStyle w:val="3"/>
        <w:spacing w:line="360" w:lineRule="auto"/>
        <w:rPr>
          <w:rFonts w:hint="eastAsia"/>
        </w:rPr>
      </w:pPr>
      <w:bookmarkStart w:id="35" w:name="_Toc22087"/>
      <w:r>
        <w:rPr>
          <w:rFonts w:hint="eastAsia"/>
        </w:rPr>
        <w:t>第五条  工程质量目标</w:t>
      </w:r>
      <w:bookmarkEnd w:id="30"/>
      <w:bookmarkEnd w:id="31"/>
      <w:bookmarkEnd w:id="32"/>
      <w:bookmarkEnd w:id="33"/>
      <w:bookmarkEnd w:id="34"/>
      <w:bookmarkEnd w:id="35"/>
    </w:p>
    <w:p w14:paraId="09B83084">
      <w:pPr>
        <w:spacing w:line="312" w:lineRule="auto"/>
        <w:ind w:firstLine="480"/>
        <w:rPr>
          <w:rFonts w:hint="eastAsia"/>
        </w:rPr>
      </w:pPr>
      <w:bookmarkStart w:id="36" w:name="_Toc9204"/>
      <w:bookmarkStart w:id="37" w:name="_Toc373069586"/>
      <w:bookmarkStart w:id="38" w:name="_Toc373069478"/>
      <w:bookmarkStart w:id="39" w:name="_Toc370219568"/>
      <w:bookmarkStart w:id="40" w:name="_Toc29177"/>
      <w:r>
        <w:t>5.1</w:t>
      </w:r>
      <w:r>
        <w:rPr>
          <w:rFonts w:hint="eastAsia"/>
        </w:rPr>
        <w:t xml:space="preserve">  工程质量标准：合格。</w:t>
      </w:r>
    </w:p>
    <w:p w14:paraId="46A6EFE3">
      <w:pPr>
        <w:spacing w:line="312" w:lineRule="auto"/>
        <w:ind w:firstLine="480"/>
        <w:rPr>
          <w:rFonts w:hint="eastAsia"/>
        </w:rPr>
      </w:pPr>
      <w:r>
        <w:t>5.</w:t>
      </w:r>
      <w:r>
        <w:rPr>
          <w:rFonts w:hint="eastAsia"/>
          <w:lang w:val="en-US" w:eastAsia="zh-CN"/>
        </w:rPr>
        <w:t>2</w:t>
      </w:r>
      <w:r>
        <w:rPr>
          <w:rFonts w:hint="eastAsia"/>
        </w:rPr>
        <w:t xml:space="preserve">  工程验收标准：【GB50300《建筑工程施工质量验收统一标准》】，构成合同文件的任何内容与国家、行业和现行规范、规程和标准出现矛盾，承包人应书面要求发包人予以澄清，除非发包人有特别指令，承包人应按其中要求最严格的标准执行。</w:t>
      </w:r>
    </w:p>
    <w:p w14:paraId="54E4F6A7">
      <w:pPr>
        <w:pStyle w:val="3"/>
        <w:spacing w:before="100" w:after="100"/>
        <w:rPr>
          <w:rFonts w:hint="eastAsia"/>
        </w:rPr>
      </w:pPr>
      <w:bookmarkStart w:id="41" w:name="_Toc19174"/>
      <w:r>
        <w:rPr>
          <w:rFonts w:hint="eastAsia"/>
        </w:rPr>
        <w:t>第六条  投标保证金</w:t>
      </w:r>
      <w:bookmarkEnd w:id="36"/>
      <w:bookmarkEnd w:id="37"/>
      <w:bookmarkEnd w:id="38"/>
      <w:bookmarkEnd w:id="39"/>
      <w:bookmarkEnd w:id="40"/>
      <w:bookmarkEnd w:id="41"/>
    </w:p>
    <w:p w14:paraId="0DE0A390">
      <w:pPr>
        <w:spacing w:line="336" w:lineRule="auto"/>
        <w:ind w:firstLine="480"/>
        <w:jc w:val="both"/>
        <w:rPr>
          <w:rFonts w:hint="eastAsia"/>
          <w:highlight w:val="red"/>
        </w:rPr>
      </w:pPr>
      <w:bookmarkStart w:id="42" w:name="_Toc28457"/>
      <w:bookmarkStart w:id="43" w:name="_Toc373069479"/>
      <w:bookmarkStart w:id="44" w:name="_Toc373069587"/>
      <w:bookmarkStart w:id="45" w:name="_Toc370219569"/>
      <w:r>
        <w:rPr>
          <w:rFonts w:hint="eastAsia"/>
        </w:rPr>
        <w:t>6.1.  投标单位根据招标公告的要求需为该工程交纳投标保证金共计</w:t>
      </w:r>
      <w:r>
        <w:rPr>
          <w:rFonts w:hint="eastAsia"/>
          <w:u w:val="single"/>
        </w:rPr>
        <w:t xml:space="preserve"> </w:t>
      </w:r>
      <w:r>
        <w:rPr>
          <w:rFonts w:hint="eastAsia"/>
          <w:u w:val="single"/>
          <w:lang w:val="en-US" w:eastAsia="zh-CN"/>
        </w:rPr>
        <w:t>贰万元（20000）</w:t>
      </w:r>
      <w:r>
        <w:rPr>
          <w:rFonts w:hint="eastAsia"/>
          <w:b/>
          <w:bCs/>
          <w:u w:val="single"/>
        </w:rPr>
        <w:t>/元 人民币（不计息），</w:t>
      </w:r>
      <w:r>
        <w:rPr>
          <w:rFonts w:hint="eastAsia"/>
          <w:b/>
          <w:bCs/>
        </w:rPr>
        <w:t>保证金交纳方式只接受电汇</w:t>
      </w:r>
      <w:r>
        <w:rPr>
          <w:rFonts w:hint="eastAsia"/>
        </w:rPr>
        <w:t>。</w:t>
      </w:r>
      <w:r>
        <w:rPr>
          <w:rFonts w:hint="eastAsia"/>
          <w:lang w:val="en-US" w:eastAsia="zh-CN"/>
        </w:rPr>
        <w:t>并于2025.5.16日前17：00汇至指定账户。</w:t>
      </w:r>
    </w:p>
    <w:p w14:paraId="06AFAE7D">
      <w:pPr>
        <w:ind w:firstLine="480" w:firstLineChars="200"/>
        <w:jc w:val="both"/>
        <w:rPr>
          <w:rFonts w:hint="eastAsia" w:ascii="Times New Roman" w:hAnsi="Times New Roman" w:eastAsia="宋体" w:cs="Times New Roman"/>
          <w:lang w:val="en-US" w:eastAsia="zh-CN"/>
        </w:rPr>
      </w:pPr>
      <w:r>
        <w:rPr>
          <w:rFonts w:hint="eastAsia"/>
        </w:rPr>
        <w:t>6.2. 中标单位确定后，</w:t>
      </w:r>
      <w:r>
        <w:rPr>
          <w:rFonts w:hint="eastAsia" w:ascii="Times New Roman" w:hAnsi="Times New Roman" w:eastAsia="宋体" w:cs="Times New Roman"/>
          <w:lang w:val="en-US" w:eastAsia="zh-CN"/>
        </w:rPr>
        <w:t>中标单位的投标保证金转为履约保证金，项目施工完成后予以退还;未中标者投标保证金于中标结果公示日起2日内无息退还。</w:t>
      </w:r>
    </w:p>
    <w:p w14:paraId="36FF1CF3">
      <w:pPr>
        <w:ind w:firstLine="48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投标保证金缴纳账户信息：</w:t>
      </w:r>
    </w:p>
    <w:p w14:paraId="5B401102">
      <w:pPr>
        <w:ind w:firstLine="48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户名:宝丰酒业有限公司   </w:t>
      </w:r>
    </w:p>
    <w:p w14:paraId="45929CBD">
      <w:pPr>
        <w:ind w:firstLine="48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账号:4100</w:t>
      </w:r>
      <w:r>
        <w:rPr>
          <w:rFonts w:hint="eastAsia" w:cs="Times New Roman"/>
          <w:lang w:val="en-US" w:eastAsia="zh-CN"/>
        </w:rPr>
        <w:t xml:space="preserve"> </w:t>
      </w:r>
      <w:r>
        <w:rPr>
          <w:rFonts w:hint="eastAsia" w:ascii="Times New Roman" w:hAnsi="Times New Roman" w:eastAsia="宋体" w:cs="Times New Roman"/>
          <w:lang w:val="en-US" w:eastAsia="zh-CN"/>
        </w:rPr>
        <w:t>1584</w:t>
      </w:r>
      <w:r>
        <w:rPr>
          <w:rFonts w:hint="eastAsia" w:cs="Times New Roman"/>
          <w:lang w:val="en-US" w:eastAsia="zh-CN"/>
        </w:rPr>
        <w:t xml:space="preserve"> </w:t>
      </w:r>
      <w:r>
        <w:rPr>
          <w:rFonts w:hint="eastAsia" w:ascii="Times New Roman" w:hAnsi="Times New Roman" w:eastAsia="宋体" w:cs="Times New Roman"/>
          <w:lang w:val="en-US" w:eastAsia="zh-CN"/>
        </w:rPr>
        <w:t>6100</w:t>
      </w:r>
      <w:r>
        <w:rPr>
          <w:rFonts w:hint="eastAsia" w:cs="Times New Roman"/>
          <w:lang w:val="en-US" w:eastAsia="zh-CN"/>
        </w:rPr>
        <w:t xml:space="preserve"> </w:t>
      </w:r>
      <w:r>
        <w:rPr>
          <w:rFonts w:hint="eastAsia" w:ascii="Times New Roman" w:hAnsi="Times New Roman" w:eastAsia="宋体" w:cs="Times New Roman"/>
          <w:lang w:val="en-US" w:eastAsia="zh-CN"/>
        </w:rPr>
        <w:t>5020</w:t>
      </w:r>
      <w:r>
        <w:rPr>
          <w:rFonts w:hint="eastAsia" w:cs="Times New Roman"/>
          <w:lang w:val="en-US" w:eastAsia="zh-CN"/>
        </w:rPr>
        <w:t xml:space="preserve"> </w:t>
      </w:r>
      <w:r>
        <w:rPr>
          <w:rFonts w:hint="eastAsia" w:ascii="Times New Roman" w:hAnsi="Times New Roman" w:eastAsia="宋体" w:cs="Times New Roman"/>
          <w:lang w:val="en-US" w:eastAsia="zh-CN"/>
        </w:rPr>
        <w:t xml:space="preserve">6939 </w:t>
      </w:r>
    </w:p>
    <w:p w14:paraId="3ACE06D3">
      <w:pPr>
        <w:ind w:firstLine="480" w:firstLineChars="20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开户行:建行宝丰支行（行号:105495162081)</w:t>
      </w:r>
    </w:p>
    <w:p w14:paraId="54FC9A24">
      <w:pPr>
        <w:ind w:firstLine="560" w:firstLineChars="200"/>
        <w:jc w:val="both"/>
        <w:rPr>
          <w:rFonts w:hint="eastAsia" w:ascii="宋体" w:hAnsi="宋体" w:eastAsia="宋体" w:cs="宋体"/>
          <w:color w:val="000000"/>
          <w:sz w:val="28"/>
          <w:szCs w:val="28"/>
          <w:lang w:val="en-US" w:eastAsia="zh-CN"/>
        </w:rPr>
      </w:pPr>
    </w:p>
    <w:p w14:paraId="3DBE73CD">
      <w:pPr>
        <w:pStyle w:val="3"/>
        <w:spacing w:before="100" w:after="100"/>
        <w:rPr>
          <w:rFonts w:hint="eastAsia"/>
        </w:rPr>
      </w:pPr>
      <w:bookmarkStart w:id="46" w:name="_Toc28950"/>
      <w:bookmarkStart w:id="47" w:name="_Toc3093"/>
      <w:r>
        <w:rPr>
          <w:rFonts w:hint="eastAsia"/>
        </w:rPr>
        <w:t>第七条  工程款支付方式</w:t>
      </w:r>
      <w:bookmarkEnd w:id="42"/>
      <w:bookmarkEnd w:id="43"/>
      <w:bookmarkEnd w:id="44"/>
      <w:bookmarkEnd w:id="45"/>
      <w:bookmarkEnd w:id="46"/>
      <w:bookmarkEnd w:id="47"/>
    </w:p>
    <w:p w14:paraId="798092E0">
      <w:pPr>
        <w:spacing w:line="312" w:lineRule="auto"/>
        <w:ind w:firstLine="480"/>
        <w:rPr>
          <w:rFonts w:hint="eastAsia" w:cs="Times New Roman"/>
          <w:lang w:val="en-US" w:eastAsia="zh-CN"/>
        </w:rPr>
      </w:pPr>
      <w:bookmarkStart w:id="48" w:name="_Toc373069480"/>
      <w:bookmarkStart w:id="49" w:name="_Toc373069588"/>
      <w:bookmarkStart w:id="50" w:name="_Toc21883"/>
      <w:bookmarkStart w:id="51" w:name="_Toc11473"/>
      <w:bookmarkStart w:id="52" w:name="_Toc13564"/>
      <w:bookmarkStart w:id="53" w:name="_Toc370219570"/>
      <w:r>
        <w:rPr>
          <w:rFonts w:hint="eastAsia" w:cs="Times New Roman"/>
          <w:lang w:val="en-US" w:eastAsia="zh-CN"/>
        </w:rPr>
        <w:t>合同签订5日内预付合同总额的20%为</w:t>
      </w:r>
      <w:r>
        <w:rPr>
          <w:rFonts w:hint="eastAsia" w:ascii="Times New Roman" w:hAnsi="Times New Roman" w:eastAsia="宋体" w:cs="Times New Roman"/>
          <w:lang w:val="en-US" w:eastAsia="zh-CN"/>
        </w:rPr>
        <w:t>工程预付款</w:t>
      </w:r>
      <w:r>
        <w:rPr>
          <w:rFonts w:hint="eastAsia" w:cs="Times New Roman"/>
          <w:lang w:val="en-US" w:eastAsia="zh-CN"/>
        </w:rPr>
        <w:t>；工程竣工验收入账后，</w:t>
      </w:r>
      <w:r>
        <w:rPr>
          <w:rFonts w:hint="eastAsia" w:ascii="Times New Roman" w:hAnsi="Times New Roman" w:eastAsia="宋体" w:cs="Times New Roman"/>
          <w:lang w:val="en-US" w:eastAsia="zh-CN"/>
        </w:rPr>
        <w:t>乙方开具全额增值税发票审核入账后10日内，甲方向乙方支付至工程总结算款的95%，剩余5%为质保金。质保期为</w:t>
      </w:r>
      <w:r>
        <w:rPr>
          <w:rFonts w:hint="eastAsia" w:cs="Times New Roman"/>
          <w:lang w:val="en-US" w:eastAsia="zh-CN"/>
        </w:rPr>
        <w:t>3</w:t>
      </w:r>
      <w:r>
        <w:rPr>
          <w:rFonts w:hint="eastAsia" w:ascii="Times New Roman" w:hAnsi="Times New Roman" w:eastAsia="宋体" w:cs="Times New Roman"/>
          <w:lang w:val="en-US" w:eastAsia="zh-CN"/>
        </w:rPr>
        <w:t>年，保修期满一年无质量问题，无息支付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二</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三</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1</w:t>
      </w:r>
      <w:r>
        <w:rPr>
          <w:rFonts w:hint="eastAsia" w:ascii="Times New Roman" w:hAnsi="Times New Roman" w:eastAsia="宋体" w:cs="Times New Roman"/>
          <w:lang w:val="en-US" w:eastAsia="zh-CN"/>
        </w:rPr>
        <w:t>%。工程款的支付方式：</w:t>
      </w:r>
      <w:r>
        <w:rPr>
          <w:rFonts w:hint="eastAsia" w:cs="Times New Roman"/>
          <w:lang w:val="en-US" w:eastAsia="zh-CN"/>
        </w:rPr>
        <w:t>银行汇票。</w:t>
      </w:r>
    </w:p>
    <w:p w14:paraId="11859EF0">
      <w:pPr>
        <w:pStyle w:val="11"/>
        <w:ind w:left="0" w:leftChars="0" w:firstLine="0" w:firstLineChars="0"/>
        <w:rPr>
          <w:rFonts w:hint="default" w:ascii="Times New Roman" w:hAnsi="Times New Roman" w:eastAsia="宋体" w:cs="Times New Roman"/>
          <w:spacing w:val="0"/>
          <w:kern w:val="2"/>
          <w:sz w:val="24"/>
          <w:szCs w:val="24"/>
          <w:lang w:val="en-US" w:eastAsia="zh-CN" w:bidi="ar-SA"/>
        </w:rPr>
      </w:pPr>
      <w:r>
        <w:rPr>
          <w:rFonts w:hint="eastAsia"/>
          <w:lang w:val="en-US" w:eastAsia="zh-CN"/>
        </w:rPr>
        <w:t xml:space="preserve">   </w:t>
      </w:r>
      <w:r>
        <w:rPr>
          <w:rFonts w:hint="eastAsia" w:ascii="Times New Roman" w:hAnsi="Times New Roman" w:eastAsia="宋体" w:cs="Times New Roman"/>
          <w:spacing w:val="0"/>
          <w:kern w:val="2"/>
          <w:sz w:val="24"/>
          <w:szCs w:val="24"/>
          <w:lang w:val="en-US" w:eastAsia="zh-CN" w:bidi="ar-SA"/>
        </w:rPr>
        <w:t>每次付款乙方需开具相对应数额的专用增值税发票</w:t>
      </w:r>
      <w:r>
        <w:rPr>
          <w:rFonts w:hint="eastAsia" w:eastAsia="宋体" w:cs="Times New Roman"/>
          <w:spacing w:val="0"/>
          <w:kern w:val="2"/>
          <w:sz w:val="24"/>
          <w:szCs w:val="24"/>
          <w:lang w:val="en-US" w:eastAsia="zh-CN" w:bidi="ar-SA"/>
        </w:rPr>
        <w:t>（9%）</w:t>
      </w:r>
      <w:r>
        <w:rPr>
          <w:rFonts w:hint="eastAsia" w:ascii="Times New Roman" w:hAnsi="Times New Roman" w:eastAsia="宋体" w:cs="Times New Roman"/>
          <w:spacing w:val="0"/>
          <w:kern w:val="2"/>
          <w:sz w:val="24"/>
          <w:szCs w:val="24"/>
          <w:lang w:val="en-US" w:eastAsia="zh-CN" w:bidi="ar-SA"/>
        </w:rPr>
        <w:t>。</w:t>
      </w:r>
    </w:p>
    <w:p w14:paraId="1491F5B3">
      <w:pPr>
        <w:pStyle w:val="3"/>
        <w:rPr>
          <w:rFonts w:hint="eastAsia"/>
        </w:rPr>
      </w:pPr>
      <w:r>
        <w:rPr>
          <w:rFonts w:hint="eastAsia"/>
        </w:rPr>
        <w:t>第八条  商务报价须知</w:t>
      </w:r>
      <w:bookmarkEnd w:id="48"/>
      <w:bookmarkEnd w:id="49"/>
      <w:bookmarkEnd w:id="50"/>
      <w:bookmarkEnd w:id="51"/>
      <w:bookmarkEnd w:id="52"/>
      <w:bookmarkEnd w:id="53"/>
    </w:p>
    <w:p w14:paraId="59D02B37">
      <w:pPr>
        <w:spacing w:line="312" w:lineRule="auto"/>
        <w:ind w:firstLine="480"/>
        <w:rPr>
          <w:rFonts w:hint="default" w:cs="Times New Roman"/>
          <w:u w:val="single"/>
          <w:lang w:val="en-US" w:eastAsia="zh-CN"/>
        </w:rPr>
      </w:pPr>
      <w:bookmarkStart w:id="54" w:name="_Toc370219571"/>
      <w:r>
        <w:rPr>
          <w:rFonts w:hint="eastAsia" w:ascii="Times New Roman" w:hAnsi="Times New Roman" w:eastAsia="宋体" w:cs="Times New Roman"/>
          <w:lang w:val="en-US" w:eastAsia="zh-CN"/>
        </w:rPr>
        <w:t>8.1. 报价方式：</w:t>
      </w:r>
      <w:r>
        <w:rPr>
          <w:rFonts w:hint="eastAsia" w:cs="Times New Roman"/>
          <w:lang w:val="en-US" w:eastAsia="zh-CN"/>
        </w:rPr>
        <w:t>根据甲方提供的招标文件，进行投标报价</w:t>
      </w:r>
      <w:r>
        <w:rPr>
          <w:rFonts w:hint="eastAsia" w:ascii="Times New Roman" w:hAnsi="Times New Roman" w:eastAsia="宋体" w:cs="Times New Roman"/>
          <w:lang w:val="en-US" w:eastAsia="zh-CN"/>
        </w:rPr>
        <w:t>。报价需含</w:t>
      </w:r>
      <w:r>
        <w:rPr>
          <w:rFonts w:hint="eastAsia" w:cs="Times New Roman"/>
          <w:lang w:val="en-US" w:eastAsia="zh-CN"/>
        </w:rPr>
        <w:t>9</w:t>
      </w:r>
      <w:r>
        <w:rPr>
          <w:rFonts w:hint="eastAsia" w:ascii="Times New Roman" w:hAnsi="Times New Roman" w:eastAsia="宋体" w:cs="Times New Roman"/>
          <w:lang w:val="en-US" w:eastAsia="zh-CN"/>
        </w:rPr>
        <w:t>%的增值税专用发票。</w:t>
      </w:r>
      <w:r>
        <w:rPr>
          <w:rFonts w:hint="eastAsia" w:cs="Times New Roman"/>
          <w:u w:val="single"/>
          <w:lang w:val="en-US" w:eastAsia="zh-CN"/>
        </w:rPr>
        <w:t>报价含材料费、含施工等一切杂费。报价需对下表中不同区域分别进行报价。</w:t>
      </w:r>
    </w:p>
    <w:p w14:paraId="616A10D0">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8.2开标前投标人需提供（1）投标单位营业执照、（2）公司资质证书、（3）法定代表人委托授权书、（4）法定代表人身份证复印件。</w:t>
      </w:r>
    </w:p>
    <w:p w14:paraId="2327F94E">
      <w:pPr>
        <w:spacing w:line="312" w:lineRule="auto"/>
        <w:ind w:firstLine="480"/>
        <w:rPr>
          <w:rFonts w:hint="eastAsia" w:ascii="Times New Roman" w:hAnsi="Times New Roman" w:eastAsia="宋体" w:cs="Times New Roman"/>
          <w:lang w:val="en-US" w:eastAsia="zh-CN"/>
        </w:rPr>
      </w:pPr>
    </w:p>
    <w:p w14:paraId="71095053">
      <w:pPr>
        <w:numPr>
          <w:ilvl w:val="0"/>
          <w:numId w:val="1"/>
        </w:numPr>
        <w:spacing w:line="312" w:lineRule="auto"/>
        <w:ind w:left="0" w:leftChars="0" w:firstLine="0" w:firstLineChars="0"/>
        <w:rPr>
          <w:rFonts w:hint="eastAsia" w:ascii="Arial" w:hAnsi="Arial" w:eastAsia="宋体" w:cs="Times New Roman"/>
          <w:b/>
          <w:kern w:val="0"/>
          <w:sz w:val="28"/>
          <w:szCs w:val="20"/>
          <w:lang w:val="en-US" w:eastAsia="zh-CN" w:bidi="ar-SA"/>
        </w:rPr>
      </w:pPr>
      <w:r>
        <w:rPr>
          <w:rFonts w:hint="eastAsia" w:ascii="Arial" w:hAnsi="Arial" w:eastAsia="宋体" w:cs="Times New Roman"/>
          <w:b/>
          <w:kern w:val="0"/>
          <w:sz w:val="28"/>
          <w:szCs w:val="20"/>
          <w:lang w:val="en-US" w:eastAsia="zh-CN" w:bidi="ar-SA"/>
        </w:rPr>
        <w:t xml:space="preserve">  工程技术相关要求</w:t>
      </w:r>
    </w:p>
    <w:tbl>
      <w:tblPr>
        <w:tblStyle w:val="12"/>
        <w:tblpPr w:leftFromText="180" w:rightFromText="180" w:vertAnchor="text" w:horzAnchor="page" w:tblpXSpec="center" w:tblpY="272"/>
        <w:tblOverlap w:val="never"/>
        <w:tblW w:w="8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1978"/>
        <w:gridCol w:w="1663"/>
        <w:gridCol w:w="1459"/>
        <w:gridCol w:w="2455"/>
      </w:tblGrid>
      <w:tr w14:paraId="4C82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0453E77">
            <w:pPr>
              <w:jc w:val="center"/>
              <w:rPr>
                <w:rFonts w:hint="eastAsia" w:ascii="宋体" w:hAnsi="宋体" w:eastAsia="宋体" w:cs="宋体"/>
                <w:i w:val="0"/>
                <w:iCs w:val="0"/>
                <w:color w:val="000000" w:themeColor="text1"/>
                <w:sz w:val="24"/>
                <w:szCs w:val="24"/>
                <w:u w:val="none"/>
                <w14:textFill>
                  <w14:solidFill>
                    <w14:schemeClr w14:val="tx1"/>
                  </w14:solidFill>
                </w14:textFill>
              </w:rPr>
            </w:pPr>
            <w:bookmarkStart w:id="55" w:name="_Toc373069589"/>
            <w:bookmarkStart w:id="56" w:name="_Toc32259"/>
            <w:bookmarkStart w:id="57" w:name="_Toc373069481"/>
            <w:bookmarkStart w:id="58" w:name="_Toc24807"/>
            <w:bookmarkStart w:id="59" w:name="_Toc32619"/>
          </w:p>
        </w:tc>
        <w:tc>
          <w:tcPr>
            <w:tcW w:w="1978" w:type="dxa"/>
            <w:tcBorders>
              <w:top w:val="single" w:color="000000" w:sz="4" w:space="0"/>
              <w:left w:val="single" w:color="000000" w:sz="4" w:space="0"/>
              <w:bottom w:val="single" w:color="auto" w:sz="4" w:space="0"/>
              <w:right w:val="single" w:color="000000" w:sz="4" w:space="0"/>
            </w:tcBorders>
            <w:shd w:val="clear" w:color="auto" w:fill="auto"/>
            <w:vAlign w:val="center"/>
          </w:tcPr>
          <w:p w14:paraId="466792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部位</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4E072F03">
            <w:pPr>
              <w:keepNext w:val="0"/>
              <w:keepLines w:val="0"/>
              <w:widowControl/>
              <w:suppressLineNumbers w:val="0"/>
              <w:jc w:val="both"/>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做法</w:t>
            </w:r>
          </w:p>
        </w:tc>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14:paraId="51A325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面积（㎡）</w:t>
            </w:r>
          </w:p>
        </w:tc>
        <w:tc>
          <w:tcPr>
            <w:tcW w:w="24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B88B92">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备注</w:t>
            </w:r>
          </w:p>
        </w:tc>
      </w:tr>
      <w:tr w14:paraId="5C72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956" w:type="dxa"/>
            <w:vMerge w:val="restart"/>
            <w:tcBorders>
              <w:top w:val="single" w:color="auto" w:sz="4" w:space="0"/>
              <w:left w:val="single" w:color="auto" w:sz="4" w:space="0"/>
              <w:right w:val="single" w:color="auto" w:sz="4" w:space="0"/>
            </w:tcBorders>
            <w:shd w:val="clear" w:color="auto" w:fill="auto"/>
            <w:vAlign w:val="center"/>
          </w:tcPr>
          <w:p w14:paraId="62BCEE4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装酒车间一层地面</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12A0FC0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物流通道</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5B8A8C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金刚砂15-18cm地面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128525E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328</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D6276">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p>
        </w:tc>
      </w:tr>
      <w:tr w14:paraId="2DA3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956" w:type="dxa"/>
            <w:vMerge w:val="continue"/>
            <w:tcBorders>
              <w:left w:val="single" w:color="auto" w:sz="4" w:space="0"/>
              <w:right w:val="single" w:color="auto" w:sz="4" w:space="0"/>
            </w:tcBorders>
            <w:shd w:val="clear" w:color="auto" w:fill="auto"/>
            <w:vAlign w:val="center"/>
          </w:tcPr>
          <w:p w14:paraId="791143C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6EA4641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灌装间、洗瓶间</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3B21A53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不锈钢地板</w:t>
            </w:r>
            <w:r>
              <w:rPr>
                <w:rFonts w:hint="eastAsia" w:ascii="宋体" w:hAnsi="宋体" w:cs="宋体"/>
                <w:i w:val="0"/>
                <w:iCs w:val="0"/>
                <w:color w:val="000000" w:themeColor="text1"/>
                <w:sz w:val="24"/>
                <w:szCs w:val="24"/>
                <w:u w:val="none"/>
                <w:lang w:val="en-US" w:eastAsia="zh-CN"/>
                <w14:textFill>
                  <w14:solidFill>
                    <w14:schemeClr w14:val="tx1"/>
                  </w14:solidFill>
                </w14:textFill>
              </w:rPr>
              <w:t>下部混凝土15-18cm</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6AF554A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587</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1F39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含下水管道埋设</w:t>
            </w:r>
          </w:p>
        </w:tc>
      </w:tr>
      <w:tr w14:paraId="1CE4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56" w:type="dxa"/>
            <w:vMerge w:val="continue"/>
            <w:tcBorders>
              <w:left w:val="single" w:color="auto" w:sz="4" w:space="0"/>
              <w:right w:val="single" w:color="auto" w:sz="4" w:space="0"/>
            </w:tcBorders>
            <w:shd w:val="clear" w:color="auto" w:fill="auto"/>
            <w:vAlign w:val="center"/>
          </w:tcPr>
          <w:p w14:paraId="38B8A9F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0156165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外包拆包区</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CB5DAF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金刚砂15cm地面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4E4797B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447</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96E2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含下水管道埋设</w:t>
            </w:r>
          </w:p>
        </w:tc>
      </w:tr>
      <w:tr w14:paraId="2D01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56" w:type="dxa"/>
            <w:vMerge w:val="continue"/>
            <w:tcBorders>
              <w:left w:val="single" w:color="auto" w:sz="4" w:space="0"/>
              <w:bottom w:val="single" w:color="auto" w:sz="4" w:space="0"/>
              <w:right w:val="single" w:color="auto" w:sz="4" w:space="0"/>
            </w:tcBorders>
            <w:shd w:val="clear" w:color="auto" w:fill="auto"/>
            <w:vAlign w:val="center"/>
          </w:tcPr>
          <w:p w14:paraId="09849F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56FF1F1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参观通道、更衣室及走道、茶水间</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3634BD6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4mm聚氨酯地面含15-18cm砼地面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1A34FC7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514</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E76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含下水管道埋设</w:t>
            </w:r>
          </w:p>
        </w:tc>
      </w:tr>
      <w:tr w14:paraId="1576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1EADC8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装酒车间二层地面</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76CE0AB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参观走廊、洗手间、更衣室、茶水间</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D7A6E8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4mm聚氨酯地面含8-10cm砼地面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311FA77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630</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B31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320E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0A0D797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立体库一层</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19583A1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卸货区</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4AED30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金刚砂8-10cm地面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44A2AD6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1200</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C0B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bl>
    <w:p w14:paraId="3393B117">
      <w:pPr>
        <w:rPr>
          <w:rFonts w:hint="default"/>
          <w:lang w:val="en-US" w:eastAsia="zh-CN"/>
        </w:rPr>
      </w:pPr>
    </w:p>
    <w:p w14:paraId="12FDA600">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1、含施工区域内排水管、地漏安装，排水管、地漏由甲方提供。</w:t>
      </w:r>
    </w:p>
    <w:p w14:paraId="78BCA21C">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金刚砂地坪：金刚砂骨料5kg/㎡，混凝土密封固化剂不低于0.2kg/㎡。大板块切缝，（柱对柱切）切割缝处填聚氨酯胶。门洞口处，分仓缝设置铠装缝。混凝土地坪内需满铺6mm*6mm间距150的钢筋网片，钢纤维掺量20kg/m³；</w:t>
      </w:r>
    </w:p>
    <w:p w14:paraId="2050A63E">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3、聚氨酯地坪：聚氨酯砂浆4mm厚，品牌采用西卡或巴斯夫。混凝土地坪内需满铺6mm*6mm间距150的钢筋网片，钢纤维掺量20kg/m³；</w:t>
      </w:r>
    </w:p>
    <w:p w14:paraId="29FB223F">
      <w:pPr>
        <w:spacing w:line="312" w:lineRule="auto"/>
        <w:ind w:firstLine="48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4、原地坪剔凿由甲方进行，其余混凝土等施工材料由乙方提供，混凝标号为C30。</w:t>
      </w:r>
    </w:p>
    <w:p w14:paraId="1F3AA6A2">
      <w:pPr>
        <w:pStyle w:val="3"/>
        <w:rPr>
          <w:rFonts w:hint="eastAsia"/>
        </w:rPr>
      </w:pPr>
      <w:r>
        <w:rPr>
          <w:rFonts w:hint="eastAsia"/>
        </w:rPr>
        <w:t>第</w:t>
      </w:r>
      <w:r>
        <w:rPr>
          <w:rFonts w:hint="eastAsia"/>
          <w:lang w:val="en-US" w:eastAsia="zh-CN"/>
        </w:rPr>
        <w:t>十</w:t>
      </w:r>
      <w:r>
        <w:rPr>
          <w:rFonts w:hint="eastAsia"/>
        </w:rPr>
        <w:t>条  工程承包要求</w:t>
      </w:r>
      <w:bookmarkEnd w:id="54"/>
      <w:bookmarkEnd w:id="55"/>
      <w:bookmarkEnd w:id="56"/>
      <w:bookmarkEnd w:id="57"/>
      <w:bookmarkEnd w:id="58"/>
      <w:bookmarkEnd w:id="59"/>
    </w:p>
    <w:p w14:paraId="7EDEC03C">
      <w:pPr>
        <w:ind w:firstLine="480"/>
        <w:rPr>
          <w:rFonts w:hint="eastAsia"/>
        </w:rPr>
      </w:pPr>
      <w:bookmarkStart w:id="60" w:name="_Toc370219572"/>
      <w:r>
        <w:rPr>
          <w:rFonts w:hint="eastAsia"/>
        </w:rPr>
        <w:t>9.1.  中标单位不得将工程转让给其他单位，一经发现，招标单位有权终止合同，所造成的一切损失均由中标单位负责。</w:t>
      </w:r>
    </w:p>
    <w:p w14:paraId="40741A01">
      <w:pPr>
        <w:ind w:firstLine="480"/>
        <w:rPr>
          <w:rFonts w:hint="eastAsia"/>
        </w:rPr>
      </w:pPr>
      <w:r>
        <w:rPr>
          <w:rFonts w:hint="eastAsia"/>
        </w:rPr>
        <w:t>9.2.  中标单位应对全部工程的质量、安全、工期、文明施工等负完全责任。</w:t>
      </w:r>
    </w:p>
    <w:p w14:paraId="6AB338AE">
      <w:pPr>
        <w:ind w:firstLine="480"/>
        <w:rPr>
          <w:rFonts w:hint="eastAsia"/>
        </w:rPr>
      </w:pPr>
      <w:r>
        <w:rPr>
          <w:rFonts w:hint="eastAsia"/>
        </w:rPr>
        <w:t>9.3</w:t>
      </w:r>
      <w:r>
        <w:rPr>
          <w:rFonts w:hint="eastAsia"/>
          <w:lang w:val="en-US" w:eastAsia="zh-CN"/>
        </w:rPr>
        <w:t xml:space="preserve">.  </w:t>
      </w:r>
      <w:r>
        <w:rPr>
          <w:rFonts w:hint="eastAsia"/>
        </w:rPr>
        <w:t>施工责任：合同有效期内，中标单位应在接到招标单位修理通知后24小时内派人修理，否则，每逾期1小时，中标单位需承担合同总金额的1‰的违约金，逾期3小时，中标单位除承担结算总金额的</w:t>
      </w:r>
      <w:r>
        <w:rPr>
          <w:rFonts w:hint="eastAsia"/>
          <w:lang w:val="en-US" w:eastAsia="zh-CN"/>
        </w:rPr>
        <w:t>5</w:t>
      </w:r>
      <w:r>
        <w:rPr>
          <w:rFonts w:hint="eastAsia"/>
        </w:rPr>
        <w:t>%的违约金外，招标单位可委托其他单位和人员修理，费用由中标单位全部承担，招标单位有权在本季度结算款中予以扣除，不足部分中标单位应在三日内补足。</w:t>
      </w:r>
    </w:p>
    <w:p w14:paraId="313C9465">
      <w:pPr>
        <w:ind w:firstLine="480"/>
        <w:rPr>
          <w:rFonts w:hint="default" w:eastAsia="宋体"/>
          <w:lang w:val="en-US" w:eastAsia="zh-CN"/>
        </w:rPr>
      </w:pPr>
      <w:r>
        <w:rPr>
          <w:rFonts w:hint="eastAsia"/>
          <w:lang w:val="en-US" w:eastAsia="zh-CN"/>
        </w:rPr>
        <w:t>9.4  中标方需对所有进场工人购买保险，高空作业以及特种作业人员需持有相应特种作业证书。</w:t>
      </w:r>
    </w:p>
    <w:bookmarkEnd w:id="60"/>
    <w:p w14:paraId="3C2F3FA0">
      <w:pPr>
        <w:pStyle w:val="3"/>
        <w:numPr>
          <w:ilvl w:val="0"/>
          <w:numId w:val="0"/>
        </w:numPr>
        <w:rPr>
          <w:rFonts w:hint="default" w:eastAsia="宋体"/>
          <w:lang w:val="en-US" w:eastAsia="zh-CN"/>
        </w:rPr>
      </w:pPr>
      <w:bookmarkStart w:id="61" w:name="_Toc1070"/>
      <w:r>
        <w:rPr>
          <w:rFonts w:hint="eastAsia"/>
          <w:lang w:val="en-US" w:eastAsia="zh-CN"/>
        </w:rPr>
        <w:t xml:space="preserve">第十一条  </w:t>
      </w:r>
      <w:r>
        <w:rPr>
          <w:rFonts w:hint="eastAsia"/>
        </w:rPr>
        <w:t>评标原则</w:t>
      </w:r>
      <w:bookmarkEnd w:id="61"/>
      <w:r>
        <w:rPr>
          <w:rFonts w:hint="eastAsia"/>
          <w:lang w:val="en-US" w:eastAsia="zh-CN"/>
        </w:rPr>
        <w:t xml:space="preserve"> </w:t>
      </w:r>
    </w:p>
    <w:p w14:paraId="79A38DF4">
      <w:pPr>
        <w:rPr>
          <w:rFonts w:hint="eastAsia" w:ascii="Arial" w:hAnsi="Arial" w:cs="Arial"/>
          <w:b/>
          <w:bCs/>
        </w:rPr>
      </w:pPr>
      <w:r>
        <w:rPr>
          <w:rFonts w:hint="eastAsia"/>
          <w:lang w:val="en-US" w:eastAsia="zh-CN"/>
        </w:rPr>
        <w:t>本工程采用公开招标，现场评标原则。</w:t>
      </w:r>
      <w:r>
        <w:rPr>
          <w:rFonts w:hint="eastAsia" w:ascii="Arial" w:hAnsi="Arial" w:cs="Arial"/>
          <w:b/>
          <w:bCs/>
        </w:rPr>
        <w:t xml:space="preserve">   </w:t>
      </w:r>
    </w:p>
    <w:p w14:paraId="4DA3FF1A">
      <w:pPr>
        <w:pStyle w:val="3"/>
        <w:rPr>
          <w:rFonts w:hint="eastAsia"/>
        </w:rPr>
      </w:pPr>
      <w:bookmarkStart w:id="62" w:name="_Toc5732"/>
      <w:bookmarkStart w:id="63" w:name="_Toc373069483"/>
      <w:bookmarkStart w:id="64" w:name="_Toc373069591"/>
      <w:bookmarkStart w:id="65" w:name="_Toc370219573"/>
      <w:bookmarkStart w:id="66" w:name="_Toc20159"/>
      <w:bookmarkStart w:id="67" w:name="_Toc8600"/>
      <w:r>
        <w:rPr>
          <w:rFonts w:hint="eastAsia"/>
        </w:rPr>
        <w:t>第十</w:t>
      </w:r>
      <w:r>
        <w:rPr>
          <w:rFonts w:hint="eastAsia"/>
          <w:lang w:val="en-US" w:eastAsia="zh-CN"/>
        </w:rPr>
        <w:t>二</w:t>
      </w:r>
      <w:r>
        <w:rPr>
          <w:rFonts w:hint="eastAsia"/>
        </w:rPr>
        <w:t>条  投标日程安排</w:t>
      </w:r>
      <w:bookmarkEnd w:id="62"/>
      <w:bookmarkEnd w:id="63"/>
      <w:bookmarkEnd w:id="64"/>
      <w:bookmarkEnd w:id="65"/>
      <w:bookmarkEnd w:id="66"/>
      <w:bookmarkEnd w:id="67"/>
    </w:p>
    <w:p w14:paraId="738ADFF0">
      <w:pPr>
        <w:tabs>
          <w:tab w:val="left" w:pos="1990"/>
        </w:tabs>
        <w:spacing w:line="480" w:lineRule="auto"/>
        <w:ind w:firstLine="480"/>
        <w:rPr>
          <w:rFonts w:ascii="宋体" w:hAnsi="宋体"/>
          <w:color w:val="auto"/>
        </w:rPr>
      </w:pPr>
      <w:bookmarkStart w:id="68" w:name="_Toc373069592"/>
      <w:bookmarkStart w:id="69" w:name="_Toc370219574"/>
      <w:bookmarkStart w:id="70" w:name="_Toc9794"/>
      <w:bookmarkStart w:id="71" w:name="_Toc29527"/>
      <w:bookmarkStart w:id="72" w:name="_Toc373069484"/>
      <w:r>
        <w:rPr>
          <w:rFonts w:hint="eastAsia" w:ascii="宋体" w:hAnsi="宋体"/>
          <w:color w:val="auto"/>
        </w:rPr>
        <w:t>13.1.招标单位</w:t>
      </w:r>
      <w:r>
        <w:rPr>
          <w:rFonts w:hint="eastAsia" w:ascii="宋体" w:hAnsi="宋体"/>
          <w:color w:val="auto"/>
          <w:highlight w:val="none"/>
        </w:rPr>
        <w:t>于</w:t>
      </w:r>
      <w:r>
        <w:rPr>
          <w:rFonts w:hint="eastAsia" w:ascii="宋体" w:hAnsi="宋体"/>
          <w:color w:val="auto"/>
          <w:highlight w:val="none"/>
          <w:u w:val="single"/>
          <w:lang w:val="en-US" w:eastAsia="zh-CN"/>
        </w:rPr>
        <w:t>2025</w:t>
      </w:r>
      <w:r>
        <w:rPr>
          <w:rFonts w:hint="eastAsia" w:ascii="宋体" w:hAnsi="宋体"/>
          <w:color w:val="auto"/>
          <w:highlight w:val="none"/>
        </w:rPr>
        <w:t>年</w:t>
      </w:r>
      <w:r>
        <w:rPr>
          <w:rFonts w:hint="eastAsia" w:ascii="宋体" w:hAnsi="宋体"/>
          <w:color w:val="auto"/>
          <w:highlight w:val="none"/>
          <w:u w:val="single"/>
          <w:lang w:val="en-US" w:eastAsia="zh-CN"/>
        </w:rPr>
        <w:t>5</w:t>
      </w:r>
      <w:r>
        <w:rPr>
          <w:rFonts w:hint="eastAsia" w:ascii="宋体" w:hAnsi="宋体"/>
          <w:color w:val="auto"/>
          <w:highlight w:val="none"/>
        </w:rPr>
        <w:t>月</w:t>
      </w:r>
      <w:r>
        <w:rPr>
          <w:rFonts w:hint="eastAsia" w:ascii="宋体" w:hAnsi="宋体"/>
          <w:color w:val="auto"/>
          <w:highlight w:val="none"/>
          <w:u w:val="single"/>
          <w:lang w:val="en-US" w:eastAsia="zh-CN"/>
        </w:rPr>
        <w:t>14</w:t>
      </w:r>
      <w:r>
        <w:rPr>
          <w:rFonts w:hint="eastAsia" w:ascii="宋体" w:hAnsi="宋体"/>
          <w:color w:val="auto"/>
          <w:highlight w:val="none"/>
        </w:rPr>
        <w:t>日，发送电子</w:t>
      </w:r>
      <w:r>
        <w:rPr>
          <w:rFonts w:hint="eastAsia" w:ascii="宋体" w:hAnsi="宋体"/>
          <w:color w:val="auto"/>
        </w:rPr>
        <w:t>版招标资料。</w:t>
      </w:r>
    </w:p>
    <w:p w14:paraId="6FBA95D2">
      <w:pPr>
        <w:tabs>
          <w:tab w:val="left" w:pos="1990"/>
        </w:tabs>
        <w:spacing w:line="480" w:lineRule="auto"/>
        <w:ind w:firstLine="465" w:firstLineChars="194"/>
        <w:rPr>
          <w:rFonts w:hint="default" w:ascii="宋体" w:hAnsi="宋体" w:eastAsia="宋体"/>
          <w:color w:val="auto"/>
          <w:sz w:val="28"/>
          <w:szCs w:val="28"/>
          <w:highlight w:val="none"/>
          <w:lang w:val="en-US" w:eastAsia="zh-CN"/>
        </w:rPr>
      </w:pPr>
      <w:r>
        <w:rPr>
          <w:rFonts w:hint="eastAsia" w:ascii="宋体" w:hAnsi="宋体"/>
          <w:color w:val="auto"/>
        </w:rPr>
        <w:t>13.</w:t>
      </w:r>
      <w:r>
        <w:rPr>
          <w:rFonts w:hint="eastAsia" w:ascii="宋体" w:hAnsi="宋体"/>
          <w:color w:val="auto"/>
          <w:lang w:val="en-US" w:eastAsia="zh-CN"/>
        </w:rPr>
        <w:t>2</w:t>
      </w:r>
      <w:r>
        <w:rPr>
          <w:rFonts w:hint="eastAsia" w:ascii="宋体" w:hAnsi="宋体"/>
          <w:color w:val="auto"/>
        </w:rPr>
        <w:t>.投标截止时间</w:t>
      </w:r>
      <w:r>
        <w:rPr>
          <w:rFonts w:hint="eastAsia" w:ascii="宋体" w:hAnsi="宋体"/>
          <w:color w:val="auto"/>
          <w:highlight w:val="none"/>
        </w:rPr>
        <w:t>为</w:t>
      </w:r>
      <w:r>
        <w:rPr>
          <w:rFonts w:hint="eastAsia" w:ascii="宋体" w:hAnsi="宋体"/>
          <w:color w:val="auto"/>
          <w:highlight w:val="none"/>
          <w:u w:val="single"/>
        </w:rPr>
        <w:t>202</w:t>
      </w:r>
      <w:r>
        <w:rPr>
          <w:rFonts w:hint="eastAsia" w:ascii="宋体" w:hAnsi="宋体"/>
          <w:color w:val="auto"/>
          <w:highlight w:val="none"/>
          <w:u w:val="single"/>
          <w:lang w:val="en-US" w:eastAsia="zh-CN"/>
        </w:rPr>
        <w:t>5</w:t>
      </w:r>
      <w:r>
        <w:rPr>
          <w:rFonts w:hint="eastAsia" w:ascii="宋体" w:hAnsi="宋体"/>
          <w:color w:val="auto"/>
          <w:highlight w:val="none"/>
        </w:rPr>
        <w:t>年</w:t>
      </w:r>
      <w:r>
        <w:rPr>
          <w:rFonts w:hint="eastAsia" w:ascii="宋体" w:hAnsi="宋体"/>
          <w:color w:val="auto"/>
          <w:highlight w:val="none"/>
          <w:u w:val="single"/>
          <w:lang w:val="en-US" w:eastAsia="zh-CN"/>
        </w:rPr>
        <w:t>5</w:t>
      </w:r>
      <w:r>
        <w:rPr>
          <w:rFonts w:hint="eastAsia" w:ascii="宋体" w:hAnsi="宋体"/>
          <w:color w:val="auto"/>
          <w:highlight w:val="none"/>
        </w:rPr>
        <w:t>月</w:t>
      </w:r>
      <w:r>
        <w:rPr>
          <w:rFonts w:hint="eastAsia" w:ascii="宋体" w:hAnsi="宋体"/>
          <w:color w:val="auto"/>
          <w:highlight w:val="none"/>
          <w:u w:val="single"/>
          <w:lang w:val="en-US" w:eastAsia="zh-CN"/>
        </w:rPr>
        <w:t>17</w:t>
      </w:r>
      <w:r>
        <w:rPr>
          <w:rFonts w:hint="eastAsia" w:ascii="宋体" w:hAnsi="宋体"/>
          <w:color w:val="auto"/>
          <w:highlight w:val="none"/>
        </w:rPr>
        <w:t>日</w:t>
      </w:r>
      <w:r>
        <w:rPr>
          <w:rFonts w:hint="eastAsia" w:ascii="宋体" w:hAnsi="宋体"/>
          <w:color w:val="auto"/>
          <w:highlight w:val="none"/>
          <w:lang w:val="en-US" w:eastAsia="zh-CN"/>
        </w:rPr>
        <w:t>上午9</w:t>
      </w:r>
      <w:r>
        <w:rPr>
          <w:rFonts w:hint="eastAsia" w:ascii="宋体" w:hAnsi="宋体"/>
          <w:color w:val="auto"/>
          <w:highlight w:val="none"/>
        </w:rPr>
        <w:t>时00分，</w:t>
      </w:r>
      <w:r>
        <w:rPr>
          <w:rFonts w:hint="eastAsia" w:ascii="宋体" w:hAnsi="宋体"/>
          <w:color w:val="auto"/>
          <w:highlight w:val="none"/>
          <w:lang w:val="en-US" w:eastAsia="zh-CN"/>
        </w:rPr>
        <w:t>开标地点：宝丰酒业办公楼三楼会议室，各投标单位需将</w:t>
      </w:r>
      <w:r>
        <w:rPr>
          <w:rFonts w:hint="eastAsia" w:ascii="Times New Roman" w:hAnsi="Times New Roman" w:eastAsia="宋体" w:cs="Times New Roman"/>
          <w:color w:val="auto"/>
          <w:lang w:val="en-US" w:eastAsia="zh-CN"/>
        </w:rPr>
        <w:t>投标人需提供文件（上述8.2条规定内容）、</w:t>
      </w:r>
      <w:r>
        <w:rPr>
          <w:rFonts w:hint="eastAsia" w:ascii="宋体" w:hAnsi="宋体"/>
          <w:color w:val="auto"/>
          <w:highlight w:val="none"/>
          <w:lang w:val="en-US" w:eastAsia="zh-CN"/>
        </w:rPr>
        <w:t>标书、以及报价等密封（封口盖上单位公章）放置档案袋中，在开标前在宝丰酒业办公楼三楼会议室交予财务人员。</w:t>
      </w:r>
    </w:p>
    <w:bookmarkEnd w:id="68"/>
    <w:bookmarkEnd w:id="69"/>
    <w:bookmarkEnd w:id="70"/>
    <w:bookmarkEnd w:id="71"/>
    <w:bookmarkEnd w:id="72"/>
    <w:p w14:paraId="66040F75">
      <w:pPr>
        <w:pStyle w:val="3"/>
        <w:rPr>
          <w:rFonts w:hint="eastAsia"/>
        </w:rPr>
      </w:pPr>
      <w:bookmarkStart w:id="73" w:name="_Toc373069594"/>
      <w:bookmarkStart w:id="74" w:name="_Toc31664"/>
      <w:bookmarkStart w:id="75" w:name="_Toc373069486"/>
      <w:bookmarkStart w:id="76" w:name="_Toc23575"/>
      <w:bookmarkStart w:id="77" w:name="_Toc370219576"/>
      <w:bookmarkStart w:id="78" w:name="_Toc22158"/>
      <w:r>
        <w:rPr>
          <w:rFonts w:hint="eastAsia"/>
        </w:rPr>
        <w:t>第十</w:t>
      </w:r>
      <w:r>
        <w:rPr>
          <w:rFonts w:hint="eastAsia"/>
          <w:lang w:val="en-US" w:eastAsia="zh-CN"/>
        </w:rPr>
        <w:t>三</w:t>
      </w:r>
      <w:r>
        <w:rPr>
          <w:rFonts w:hint="eastAsia"/>
        </w:rPr>
        <w:t>条  其他</w:t>
      </w:r>
      <w:bookmarkEnd w:id="73"/>
      <w:bookmarkEnd w:id="74"/>
      <w:bookmarkEnd w:id="75"/>
      <w:bookmarkEnd w:id="76"/>
      <w:bookmarkEnd w:id="77"/>
      <w:bookmarkEnd w:id="78"/>
    </w:p>
    <w:p w14:paraId="0364C81E">
      <w:pPr>
        <w:ind w:firstLine="480"/>
        <w:rPr>
          <w:rFonts w:hint="eastAsia"/>
        </w:rPr>
      </w:pPr>
      <w:r>
        <w:rPr>
          <w:rFonts w:hint="eastAsia"/>
        </w:rPr>
        <w:t>16.1  除本招标文件外，招标单位在招标期间发出补充书和其他正式有效函件，均是招标文件的有效组成部分。</w:t>
      </w:r>
      <w:bookmarkStart w:id="131" w:name="_GoBack"/>
      <w:bookmarkEnd w:id="131"/>
    </w:p>
    <w:p w14:paraId="784B8A60">
      <w:pPr>
        <w:ind w:firstLine="480"/>
        <w:rPr>
          <w:rFonts w:hint="eastAsia"/>
        </w:rPr>
      </w:pPr>
      <w:r>
        <w:rPr>
          <w:rFonts w:hint="eastAsia"/>
        </w:rPr>
        <w:t>16.2.  投标单位可在接到招标文件</w:t>
      </w:r>
      <w:r>
        <w:rPr>
          <w:rFonts w:hint="eastAsia"/>
          <w:lang w:val="en-US" w:eastAsia="zh-CN"/>
        </w:rPr>
        <w:t>2</w:t>
      </w:r>
      <w:r>
        <w:rPr>
          <w:rFonts w:hint="eastAsia"/>
        </w:rPr>
        <w:t>天内就招标文件中发现的问题，以书面形式通知招标单位，招标单位给以书面答疑。</w:t>
      </w:r>
    </w:p>
    <w:p w14:paraId="3CC08E8B">
      <w:pPr>
        <w:ind w:firstLine="480"/>
        <w:rPr>
          <w:rFonts w:hint="eastAsia"/>
        </w:rPr>
      </w:pPr>
      <w:r>
        <w:rPr>
          <w:rFonts w:hint="eastAsia"/>
        </w:rPr>
        <w:t>16.3  为了有助于投标文件的审查、评价和比较，招标单位可以要求投标单位澄清其投标文件，有关澄清的要求与答复应以书面形式进行。</w:t>
      </w:r>
    </w:p>
    <w:p w14:paraId="0F4E8011">
      <w:pPr>
        <w:ind w:firstLine="480"/>
      </w:pPr>
      <w:r>
        <w:rPr>
          <w:rFonts w:hint="eastAsia"/>
        </w:rPr>
        <w:t>16.4  凡属对招标文件条款误解造成的误差，开标后不得再作任何调整。</w:t>
      </w:r>
    </w:p>
    <w:p w14:paraId="5F811E21">
      <w:pPr>
        <w:ind w:firstLine="480"/>
      </w:pPr>
      <w:r>
        <w:rPr>
          <w:rFonts w:hint="eastAsia"/>
        </w:rPr>
        <w:t>16.5  招标单位就收到的任何投标文件在开标后，不会解释选择或否决任何投标文件的原因。</w:t>
      </w:r>
    </w:p>
    <w:p w14:paraId="3A63E7A7">
      <w:pPr>
        <w:ind w:firstLine="480"/>
        <w:rPr>
          <w:rFonts w:hint="eastAsia"/>
        </w:rPr>
      </w:pPr>
      <w:r>
        <w:rPr>
          <w:rFonts w:hint="eastAsia"/>
        </w:rPr>
        <w:t>16.6  投标单位一旦中标, 本招标文件所有条款,立即生效为合同有效组成部分。</w:t>
      </w:r>
    </w:p>
    <w:p w14:paraId="7FB209C9">
      <w:pPr>
        <w:ind w:firstLine="480"/>
        <w:rPr>
          <w:rFonts w:hint="default"/>
          <w:lang w:val="en-US" w:eastAsia="zh-CN"/>
        </w:rPr>
      </w:pPr>
      <w:r>
        <w:rPr>
          <w:rFonts w:hint="eastAsia"/>
          <w:lang w:val="en-US" w:eastAsia="zh-CN"/>
        </w:rPr>
        <w:t xml:space="preserve">                                                    2025.05.13</w:t>
      </w:r>
    </w:p>
    <w:p w14:paraId="5DF859C2">
      <w:pPr>
        <w:ind w:firstLine="480"/>
        <w:rPr>
          <w:rFonts w:hint="eastAsia"/>
          <w:lang w:val="en-US" w:eastAsia="zh-CN"/>
        </w:rPr>
      </w:pPr>
    </w:p>
    <w:p w14:paraId="6F0CBD62">
      <w:pPr>
        <w:ind w:firstLine="480"/>
        <w:rPr>
          <w:rFonts w:hint="eastAsia"/>
          <w:lang w:val="en-US" w:eastAsia="zh-CN"/>
        </w:rPr>
      </w:pPr>
    </w:p>
    <w:p w14:paraId="3057C8D5">
      <w:pPr>
        <w:ind w:firstLine="480"/>
        <w:rPr>
          <w:rFonts w:hint="eastAsia"/>
          <w:lang w:val="en-US" w:eastAsia="zh-CN"/>
        </w:rPr>
      </w:pPr>
    </w:p>
    <w:p w14:paraId="7DA0A5A2">
      <w:pPr>
        <w:ind w:firstLine="480"/>
        <w:rPr>
          <w:rFonts w:hint="eastAsia"/>
          <w:lang w:val="en-US" w:eastAsia="zh-CN"/>
        </w:rPr>
      </w:pPr>
    </w:p>
    <w:p w14:paraId="322AB235">
      <w:pPr>
        <w:ind w:firstLine="480"/>
        <w:rPr>
          <w:rFonts w:hint="eastAsia"/>
          <w:lang w:val="en-US" w:eastAsia="zh-CN"/>
        </w:rPr>
      </w:pPr>
    </w:p>
    <w:p w14:paraId="27CD4518">
      <w:pPr>
        <w:ind w:firstLine="480"/>
        <w:rPr>
          <w:rFonts w:hint="eastAsia"/>
          <w:lang w:val="en-US" w:eastAsia="zh-CN"/>
        </w:rPr>
      </w:pPr>
    </w:p>
    <w:p w14:paraId="5292EF8F">
      <w:pPr>
        <w:ind w:firstLine="480"/>
        <w:rPr>
          <w:rFonts w:hint="eastAsia"/>
          <w:lang w:val="en-US" w:eastAsia="zh-CN"/>
        </w:rPr>
      </w:pPr>
    </w:p>
    <w:p w14:paraId="0ABEFE0F">
      <w:pPr>
        <w:ind w:firstLine="480"/>
        <w:rPr>
          <w:rFonts w:hint="eastAsia"/>
          <w:lang w:val="en-US" w:eastAsia="zh-CN"/>
        </w:rPr>
      </w:pPr>
    </w:p>
    <w:p w14:paraId="7D911FB5">
      <w:pPr>
        <w:ind w:firstLine="480"/>
        <w:rPr>
          <w:rFonts w:hint="eastAsia"/>
          <w:lang w:val="en-US" w:eastAsia="zh-CN"/>
        </w:rPr>
      </w:pPr>
    </w:p>
    <w:p w14:paraId="3A3068FA">
      <w:pPr>
        <w:ind w:firstLine="480"/>
        <w:rPr>
          <w:rFonts w:hint="eastAsia"/>
          <w:lang w:val="en-US" w:eastAsia="zh-CN"/>
        </w:rPr>
      </w:pPr>
    </w:p>
    <w:p w14:paraId="1D91D81E">
      <w:pPr>
        <w:ind w:firstLine="480"/>
        <w:rPr>
          <w:rFonts w:hint="eastAsia"/>
          <w:lang w:val="en-US" w:eastAsia="zh-CN"/>
        </w:rPr>
      </w:pPr>
    </w:p>
    <w:p w14:paraId="1D950EED">
      <w:pPr>
        <w:ind w:firstLine="480"/>
        <w:rPr>
          <w:rFonts w:hint="eastAsia"/>
          <w:lang w:val="en-US" w:eastAsia="zh-CN"/>
        </w:rPr>
      </w:pPr>
    </w:p>
    <w:p w14:paraId="74B17E62">
      <w:pPr>
        <w:ind w:firstLine="480"/>
        <w:rPr>
          <w:rFonts w:hint="eastAsia"/>
          <w:lang w:val="en-US" w:eastAsia="zh-CN"/>
        </w:rPr>
      </w:pPr>
    </w:p>
    <w:p w14:paraId="337139EC">
      <w:pPr>
        <w:ind w:firstLine="480"/>
        <w:rPr>
          <w:rFonts w:hint="eastAsia"/>
          <w:lang w:val="en-US" w:eastAsia="zh-CN"/>
        </w:rPr>
      </w:pPr>
    </w:p>
    <w:p w14:paraId="0714276A">
      <w:pPr>
        <w:ind w:firstLine="480"/>
        <w:rPr>
          <w:rFonts w:hint="eastAsia"/>
          <w:lang w:val="en-US" w:eastAsia="zh-CN"/>
        </w:rPr>
      </w:pPr>
    </w:p>
    <w:p w14:paraId="6C90547C">
      <w:pPr>
        <w:ind w:firstLine="480"/>
        <w:rPr>
          <w:rFonts w:hint="eastAsia"/>
          <w:lang w:val="en-US" w:eastAsia="zh-CN"/>
        </w:rPr>
      </w:pPr>
    </w:p>
    <w:p w14:paraId="348B7DC9">
      <w:pPr>
        <w:ind w:firstLine="480"/>
        <w:rPr>
          <w:rFonts w:hint="eastAsia"/>
          <w:lang w:val="en-US" w:eastAsia="zh-CN"/>
        </w:rPr>
      </w:pPr>
    </w:p>
    <w:p w14:paraId="589C08F7">
      <w:pPr>
        <w:ind w:firstLine="480"/>
        <w:rPr>
          <w:rFonts w:hint="eastAsia"/>
          <w:lang w:val="en-US" w:eastAsia="zh-CN"/>
        </w:rPr>
      </w:pPr>
    </w:p>
    <w:p w14:paraId="4E69FED4">
      <w:pPr>
        <w:keepNext w:val="0"/>
        <w:keepLines w:val="0"/>
        <w:pageBreakBefore w:val="0"/>
        <w:widowControl w:val="0"/>
        <w:kinsoku/>
        <w:wordWrap/>
        <w:overflowPunct/>
        <w:topLinePunct w:val="0"/>
        <w:autoSpaceDE/>
        <w:autoSpaceDN/>
        <w:bidi w:val="0"/>
        <w:adjustRightInd/>
        <w:snapToGrid/>
        <w:spacing w:line="920" w:lineRule="exact"/>
        <w:ind w:left="0" w:leftChars="0" w:firstLine="0" w:firstLineChars="0"/>
        <w:jc w:val="center"/>
        <w:textAlignment w:val="auto"/>
        <w:rPr>
          <w:rFonts w:hint="eastAsia"/>
          <w:b/>
          <w:color w:val="auto"/>
          <w:sz w:val="52"/>
          <w:szCs w:val="52"/>
          <w:highlight w:val="none"/>
          <w:lang w:val="en-US" w:eastAsia="zh-CN"/>
        </w:rPr>
      </w:pPr>
    </w:p>
    <w:p w14:paraId="1E3E061E">
      <w:pPr>
        <w:keepNext w:val="0"/>
        <w:keepLines w:val="0"/>
        <w:pageBreakBefore w:val="0"/>
        <w:widowControl w:val="0"/>
        <w:kinsoku/>
        <w:wordWrap/>
        <w:overflowPunct/>
        <w:topLinePunct w:val="0"/>
        <w:autoSpaceDE/>
        <w:autoSpaceDN/>
        <w:bidi w:val="0"/>
        <w:adjustRightInd/>
        <w:snapToGrid/>
        <w:spacing w:line="920" w:lineRule="exact"/>
        <w:ind w:left="0" w:leftChars="0" w:firstLine="0" w:firstLineChars="0"/>
        <w:jc w:val="center"/>
        <w:textAlignment w:val="auto"/>
        <w:rPr>
          <w:rFonts w:hint="eastAsia"/>
          <w:b/>
          <w:color w:val="auto"/>
          <w:sz w:val="52"/>
          <w:szCs w:val="52"/>
          <w:highlight w:val="none"/>
          <w:lang w:val="en-US" w:eastAsia="zh-CN"/>
        </w:rPr>
      </w:pPr>
    </w:p>
    <w:p w14:paraId="29437E22">
      <w:pPr>
        <w:keepNext w:val="0"/>
        <w:keepLines w:val="0"/>
        <w:pageBreakBefore w:val="0"/>
        <w:widowControl w:val="0"/>
        <w:kinsoku/>
        <w:wordWrap/>
        <w:overflowPunct/>
        <w:topLinePunct w:val="0"/>
        <w:autoSpaceDE/>
        <w:autoSpaceDN/>
        <w:bidi w:val="0"/>
        <w:adjustRightInd/>
        <w:snapToGrid/>
        <w:spacing w:line="920" w:lineRule="exact"/>
        <w:ind w:left="0" w:leftChars="0" w:firstLine="0" w:firstLineChars="0"/>
        <w:jc w:val="center"/>
        <w:textAlignment w:val="auto"/>
        <w:rPr>
          <w:rFonts w:hint="eastAsia" w:eastAsia="宋体"/>
          <w:b/>
          <w:color w:val="auto"/>
          <w:sz w:val="52"/>
          <w:szCs w:val="52"/>
          <w:highlight w:val="none"/>
          <w:lang w:eastAsia="zh-CN"/>
        </w:rPr>
      </w:pPr>
      <w:r>
        <w:rPr>
          <w:rFonts w:hint="eastAsia"/>
          <w:b/>
          <w:color w:val="auto"/>
          <w:sz w:val="52"/>
          <w:szCs w:val="52"/>
          <w:highlight w:val="none"/>
          <w:lang w:val="en-US" w:eastAsia="zh-CN"/>
        </w:rPr>
        <w:t>宝丰酒业有限公司装酒车间金刚砂、聚氨酯地面项目承包合</w:t>
      </w:r>
      <w:r>
        <w:rPr>
          <w:rFonts w:hint="eastAsia"/>
          <w:b/>
          <w:color w:val="auto"/>
          <w:sz w:val="52"/>
          <w:szCs w:val="52"/>
          <w:highlight w:val="none"/>
          <w:u w:val="none"/>
          <w:lang w:val="en-US" w:eastAsia="zh-CN"/>
        </w:rPr>
        <w:t>同</w:t>
      </w:r>
    </w:p>
    <w:p w14:paraId="0D15AC37">
      <w:pPr>
        <w:jc w:val="center"/>
        <w:rPr>
          <w:b/>
          <w:color w:val="auto"/>
          <w:sz w:val="52"/>
          <w:szCs w:val="52"/>
          <w:highlight w:val="none"/>
        </w:rPr>
      </w:pPr>
    </w:p>
    <w:p w14:paraId="4E886893">
      <w:pPr>
        <w:jc w:val="center"/>
        <w:rPr>
          <w:rFonts w:hint="eastAsia" w:eastAsia="宋体"/>
          <w:b/>
          <w:color w:val="auto"/>
          <w:sz w:val="52"/>
          <w:szCs w:val="52"/>
          <w:highlight w:val="none"/>
          <w:lang w:eastAsia="zh-CN"/>
        </w:rPr>
      </w:pPr>
    </w:p>
    <w:p w14:paraId="5DA1EC14">
      <w:pPr>
        <w:jc w:val="center"/>
        <w:rPr>
          <w:rFonts w:hint="eastAsia" w:eastAsia="宋体"/>
          <w:b/>
          <w:color w:val="auto"/>
          <w:sz w:val="52"/>
          <w:szCs w:val="52"/>
          <w:highlight w:val="none"/>
          <w:lang w:eastAsia="zh-CN"/>
        </w:rPr>
      </w:pPr>
    </w:p>
    <w:p w14:paraId="5A4B2555">
      <w:pPr>
        <w:pStyle w:val="11"/>
        <w:rPr>
          <w:rFonts w:hint="eastAsia"/>
          <w:highlight w:val="none"/>
          <w:lang w:eastAsia="zh-CN"/>
        </w:rPr>
      </w:pPr>
    </w:p>
    <w:p w14:paraId="6D22F280">
      <w:pPr>
        <w:jc w:val="left"/>
        <w:rPr>
          <w:b/>
          <w:color w:val="auto"/>
          <w:sz w:val="52"/>
          <w:szCs w:val="52"/>
          <w:highlight w:val="none"/>
        </w:rPr>
      </w:pPr>
    </w:p>
    <w:p w14:paraId="68DF9DA7">
      <w:pPr>
        <w:pStyle w:val="5"/>
        <w:rPr>
          <w:highlight w:val="none"/>
        </w:rPr>
      </w:pPr>
    </w:p>
    <w:p w14:paraId="553D612E">
      <w:pPr>
        <w:pStyle w:val="5"/>
        <w:rPr>
          <w:highlight w:val="none"/>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3"/>
        <w:gridCol w:w="5615"/>
      </w:tblGrid>
      <w:tr w14:paraId="2CE24A91">
        <w:tblPrEx>
          <w:tblCellMar>
            <w:top w:w="0" w:type="dxa"/>
            <w:left w:w="108" w:type="dxa"/>
            <w:bottom w:w="0" w:type="dxa"/>
            <w:right w:w="108" w:type="dxa"/>
          </w:tblCellMar>
        </w:tblPrEx>
        <w:trPr>
          <w:trHeight w:val="380" w:hRule="atLeast"/>
          <w:jc w:val="center"/>
        </w:trPr>
        <w:tc>
          <w:tcPr>
            <w:tcW w:w="2623" w:type="dxa"/>
            <w:noWrap w:val="0"/>
            <w:vAlign w:val="center"/>
          </w:tcPr>
          <w:p w14:paraId="61128A74">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 xml:space="preserve">发  包  </w:t>
            </w:r>
            <w:r>
              <w:rPr>
                <w:rFonts w:hint="eastAsia" w:ascii="宋体" w:hAnsi="宋体" w:eastAsia="宋体" w:cs="宋体"/>
                <w:b/>
                <w:color w:val="auto"/>
                <w:sz w:val="32"/>
                <w:szCs w:val="32"/>
                <w:highlight w:val="none"/>
                <w:lang w:eastAsia="zh-CN"/>
              </w:rPr>
              <w:t>人</w:t>
            </w:r>
          </w:p>
        </w:tc>
        <w:tc>
          <w:tcPr>
            <w:tcW w:w="5615" w:type="dxa"/>
            <w:tcBorders>
              <w:bottom w:val="single" w:color="auto" w:sz="6" w:space="0"/>
            </w:tcBorders>
            <w:noWrap w:val="0"/>
            <w:vAlign w:val="center"/>
          </w:tcPr>
          <w:p w14:paraId="4A4BD4BD">
            <w:pP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val="en-US" w:eastAsia="zh-CN"/>
              </w:rPr>
              <w:t>宝丰酒业有限公司</w:t>
            </w:r>
          </w:p>
        </w:tc>
      </w:tr>
      <w:tr w14:paraId="226D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23" w:type="dxa"/>
            <w:noWrap w:val="0"/>
            <w:vAlign w:val="center"/>
          </w:tcPr>
          <w:p w14:paraId="0BE21A0D">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 xml:space="preserve">承  包  </w:t>
            </w:r>
            <w:r>
              <w:rPr>
                <w:rFonts w:hint="eastAsia" w:ascii="宋体" w:hAnsi="宋体" w:eastAsia="宋体" w:cs="宋体"/>
                <w:b/>
                <w:color w:val="auto"/>
                <w:sz w:val="32"/>
                <w:szCs w:val="32"/>
                <w:highlight w:val="none"/>
                <w:lang w:eastAsia="zh-CN"/>
              </w:rPr>
              <w:t>人</w:t>
            </w:r>
          </w:p>
        </w:tc>
        <w:tc>
          <w:tcPr>
            <w:tcW w:w="5615" w:type="dxa"/>
            <w:tcBorders>
              <w:top w:val="single" w:color="auto" w:sz="6" w:space="0"/>
              <w:bottom w:val="single" w:color="auto" w:sz="6" w:space="0"/>
            </w:tcBorders>
            <w:noWrap w:val="0"/>
            <w:vAlign w:val="center"/>
          </w:tcPr>
          <w:p w14:paraId="2EFF06B8">
            <w:pPr>
              <w:rPr>
                <w:rFonts w:hint="eastAsia" w:ascii="宋体" w:hAnsi="宋体" w:eastAsia="宋体" w:cs="宋体"/>
                <w:b/>
                <w:color w:val="auto"/>
                <w:sz w:val="32"/>
                <w:szCs w:val="32"/>
                <w:highlight w:val="none"/>
              </w:rPr>
            </w:pPr>
          </w:p>
        </w:tc>
      </w:tr>
      <w:tr w14:paraId="0609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23" w:type="dxa"/>
            <w:noWrap w:val="0"/>
            <w:vAlign w:val="center"/>
          </w:tcPr>
          <w:p w14:paraId="1B725006">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 程 地 点</w:t>
            </w:r>
          </w:p>
        </w:tc>
        <w:tc>
          <w:tcPr>
            <w:tcW w:w="5615" w:type="dxa"/>
            <w:tcBorders>
              <w:top w:val="single" w:color="auto" w:sz="6" w:space="0"/>
              <w:bottom w:val="single" w:color="auto" w:sz="6" w:space="0"/>
            </w:tcBorders>
            <w:noWrap w:val="0"/>
            <w:vAlign w:val="center"/>
          </w:tcPr>
          <w:p w14:paraId="75035525">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河南·平顶山·</w:t>
            </w:r>
            <w:r>
              <w:rPr>
                <w:rFonts w:hint="eastAsia" w:ascii="宋体" w:hAnsi="宋体" w:eastAsia="宋体" w:cs="宋体"/>
                <w:b/>
                <w:color w:val="auto"/>
                <w:sz w:val="32"/>
                <w:szCs w:val="32"/>
                <w:highlight w:val="none"/>
                <w:lang w:eastAsia="zh-CN"/>
              </w:rPr>
              <w:t>宝丰县</w:t>
            </w:r>
          </w:p>
        </w:tc>
      </w:tr>
      <w:tr w14:paraId="48F7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23" w:type="dxa"/>
            <w:noWrap w:val="0"/>
            <w:vAlign w:val="center"/>
          </w:tcPr>
          <w:p w14:paraId="1F3E0BD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 订 日 期</w:t>
            </w:r>
          </w:p>
        </w:tc>
        <w:tc>
          <w:tcPr>
            <w:tcW w:w="5615" w:type="dxa"/>
            <w:tcBorders>
              <w:top w:val="single" w:color="auto" w:sz="6" w:space="0"/>
              <w:bottom w:val="single" w:color="auto" w:sz="6" w:space="0"/>
            </w:tcBorders>
            <w:noWrap w:val="0"/>
            <w:vAlign w:val="center"/>
          </w:tcPr>
          <w:p w14:paraId="1B213A20">
            <w:pPr>
              <w:jc w:val="both"/>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2025年  月  日</w:t>
            </w:r>
          </w:p>
        </w:tc>
      </w:tr>
    </w:tbl>
    <w:p w14:paraId="034630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b/>
          <w:color w:val="auto"/>
          <w:sz w:val="32"/>
          <w:szCs w:val="32"/>
          <w:highlight w:val="none"/>
          <w:lang w:eastAsia="zh-CN"/>
        </w:rPr>
      </w:pPr>
    </w:p>
    <w:p w14:paraId="10D3BA8C">
      <w:pPr>
        <w:pStyle w:val="11"/>
        <w:ind w:left="0" w:leftChars="0" w:firstLine="0" w:firstLineChars="0"/>
        <w:rPr>
          <w:rFonts w:hint="eastAsia"/>
          <w:b/>
          <w:color w:val="auto"/>
          <w:sz w:val="32"/>
          <w:szCs w:val="32"/>
          <w:highlight w:val="none"/>
          <w:lang w:eastAsia="zh-CN"/>
        </w:rPr>
      </w:pPr>
    </w:p>
    <w:p w14:paraId="691F67FE">
      <w:pPr>
        <w:pStyle w:val="11"/>
        <w:ind w:left="0" w:leftChars="0" w:firstLine="0" w:firstLineChars="0"/>
        <w:rPr>
          <w:rFonts w:hint="eastAsia"/>
          <w:b/>
          <w:color w:val="auto"/>
          <w:sz w:val="32"/>
          <w:szCs w:val="32"/>
          <w:highlight w:val="none"/>
          <w:lang w:eastAsia="zh-CN"/>
        </w:rPr>
      </w:pPr>
    </w:p>
    <w:p w14:paraId="7BF70A9D">
      <w:pPr>
        <w:pStyle w:val="11"/>
        <w:ind w:left="0" w:leftChars="0" w:firstLine="0" w:firstLineChars="0"/>
        <w:rPr>
          <w:rFonts w:hint="eastAsia"/>
          <w:b/>
          <w:color w:val="auto"/>
          <w:sz w:val="32"/>
          <w:szCs w:val="32"/>
          <w:highlight w:val="none"/>
          <w:lang w:eastAsia="zh-CN"/>
        </w:rPr>
      </w:pPr>
    </w:p>
    <w:p w14:paraId="64EF253D">
      <w:pPr>
        <w:spacing w:line="720" w:lineRule="exact"/>
        <w:jc w:val="center"/>
        <w:rPr>
          <w:b/>
          <w:sz w:val="36"/>
          <w:szCs w:val="36"/>
        </w:rPr>
      </w:pPr>
      <w:r>
        <w:rPr>
          <w:rFonts w:hint="eastAsia"/>
          <w:b/>
          <w:sz w:val="36"/>
          <w:szCs w:val="36"/>
          <w:lang w:val="en-US" w:eastAsia="zh-CN"/>
        </w:rPr>
        <w:t>装酒车间金刚砂、聚氨酯地面项目</w:t>
      </w:r>
      <w:r>
        <w:rPr>
          <w:rFonts w:hint="eastAsia"/>
          <w:b/>
          <w:sz w:val="36"/>
          <w:szCs w:val="36"/>
        </w:rPr>
        <w:t>承包合同</w:t>
      </w:r>
    </w:p>
    <w:p w14:paraId="77A056F1">
      <w:pPr>
        <w:spacing w:line="420" w:lineRule="exact"/>
        <w:rPr>
          <w:rFonts w:ascii="宋体" w:hAnsi="宋体" w:eastAsia="宋体" w:cs="宋体"/>
          <w:b/>
          <w:bCs/>
          <w:sz w:val="24"/>
        </w:rPr>
      </w:pPr>
      <w:r>
        <w:rPr>
          <w:rFonts w:hint="eastAsia" w:ascii="宋体" w:hAnsi="宋体" w:eastAsia="宋体" w:cs="宋体"/>
          <w:b/>
          <w:bCs/>
          <w:sz w:val="24"/>
        </w:rPr>
        <w:t>发包人（全称）：</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宝丰酒业有限公司</w:t>
      </w:r>
      <w:r>
        <w:rPr>
          <w:rFonts w:hint="eastAsia" w:ascii="宋体" w:hAnsi="宋体" w:eastAsia="宋体" w:cs="宋体"/>
          <w:b/>
          <w:bCs/>
          <w:sz w:val="24"/>
          <w:u w:val="single"/>
        </w:rPr>
        <w:t xml:space="preserve">  </w:t>
      </w:r>
      <w:r>
        <w:rPr>
          <w:rFonts w:hint="eastAsia" w:ascii="宋体" w:hAnsi="宋体" w:eastAsia="宋体" w:cs="宋体"/>
          <w:b/>
          <w:bCs/>
          <w:sz w:val="24"/>
        </w:rPr>
        <w:t>（以下简称甲方）</w:t>
      </w:r>
    </w:p>
    <w:p w14:paraId="2F61CA3B">
      <w:pPr>
        <w:spacing w:line="420" w:lineRule="exact"/>
        <w:rPr>
          <w:rFonts w:ascii="宋体" w:hAnsi="宋体" w:eastAsia="宋体" w:cs="宋体"/>
          <w:b/>
          <w:bCs/>
          <w:sz w:val="24"/>
        </w:rPr>
      </w:pPr>
      <w:r>
        <w:rPr>
          <w:rFonts w:hint="eastAsia" w:ascii="宋体" w:hAnsi="宋体" w:eastAsia="宋体" w:cs="宋体"/>
          <w:b/>
          <w:bCs/>
          <w:sz w:val="24"/>
        </w:rPr>
        <w:t>承包人（全称）：</w:t>
      </w:r>
      <w:r>
        <w:rPr>
          <w:rFonts w:hint="eastAsia" w:ascii="宋体" w:hAnsi="宋体" w:eastAsia="宋体" w:cs="宋体"/>
          <w:b/>
          <w:bCs/>
          <w:sz w:val="24"/>
          <w:u w:val="single"/>
        </w:rPr>
        <w:t xml:space="preserve">  </w:t>
      </w:r>
      <w:r>
        <w:rPr>
          <w:rFonts w:hint="eastAsia" w:ascii="宋体" w:hAnsi="宋体" w:eastAsia="宋体" w:cs="宋体"/>
          <w:b/>
          <w:bCs/>
          <w:sz w:val="24"/>
        </w:rPr>
        <w:t>（以下简称乙方）</w:t>
      </w:r>
    </w:p>
    <w:p w14:paraId="68A29727">
      <w:pPr>
        <w:spacing w:line="420" w:lineRule="exact"/>
        <w:ind w:firstLine="480" w:firstLineChars="200"/>
        <w:rPr>
          <w:rFonts w:ascii="宋体" w:hAnsi="宋体" w:eastAsia="宋体" w:cs="宋体"/>
          <w:sz w:val="24"/>
        </w:rPr>
      </w:pPr>
      <w:r>
        <w:rPr>
          <w:rFonts w:hint="eastAsia" w:ascii="宋体" w:hAnsi="宋体" w:eastAsia="宋体" w:cs="宋体"/>
          <w:sz w:val="24"/>
        </w:rPr>
        <w:t>甲、乙双方依照《中华人民共和国民法典》、《中华人民共和国建筑法》及其他有关法律、法规的规定，遵循平等、自愿、公平和诚实信用的原则，在完全清楚、理解本合同及工程状况情况下，双方就</w:t>
      </w:r>
      <w:r>
        <w:rPr>
          <w:rFonts w:hint="eastAsia"/>
          <w:u w:val="single"/>
          <w:lang w:val="en-US" w:eastAsia="zh-CN"/>
        </w:rPr>
        <w:t>装酒车间内部净化等改造项目</w:t>
      </w:r>
      <w:r>
        <w:rPr>
          <w:rFonts w:hint="eastAsia" w:ascii="宋体" w:hAnsi="宋体" w:eastAsia="宋体" w:cs="宋体"/>
          <w:sz w:val="24"/>
        </w:rPr>
        <w:t>工程施工相关事宜达成一致，订立本合同，以供双方共同信守执行。</w:t>
      </w:r>
    </w:p>
    <w:p w14:paraId="7E31E4B0">
      <w:pPr>
        <w:spacing w:line="420" w:lineRule="exact"/>
        <w:ind w:firstLine="482" w:firstLineChars="200"/>
        <w:rPr>
          <w:rFonts w:ascii="宋体" w:hAnsi="宋体" w:eastAsia="宋体" w:cs="宋体"/>
          <w:b/>
          <w:sz w:val="24"/>
        </w:rPr>
      </w:pPr>
      <w:r>
        <w:rPr>
          <w:rFonts w:hint="eastAsia" w:ascii="宋体" w:hAnsi="宋体" w:eastAsia="宋体" w:cs="宋体"/>
          <w:b/>
          <w:sz w:val="24"/>
        </w:rPr>
        <w:t>一、工程概况</w:t>
      </w:r>
    </w:p>
    <w:p w14:paraId="61BAA8D3">
      <w:pPr>
        <w:spacing w:line="420" w:lineRule="exact"/>
        <w:ind w:firstLine="480" w:firstLineChars="200"/>
        <w:rPr>
          <w:rFonts w:ascii="宋体" w:hAnsi="宋体" w:eastAsia="宋体" w:cs="宋体"/>
          <w:sz w:val="24"/>
        </w:rPr>
      </w:pPr>
      <w:r>
        <w:rPr>
          <w:rFonts w:hint="eastAsia" w:ascii="宋体" w:hAnsi="宋体" w:eastAsia="宋体" w:cs="宋体"/>
          <w:sz w:val="24"/>
        </w:rPr>
        <w:t>1、工程名称：</w:t>
      </w:r>
      <w:r>
        <w:rPr>
          <w:rFonts w:hint="eastAsia" w:ascii="宋体" w:hAnsi="宋体" w:eastAsia="宋体" w:cs="宋体"/>
          <w:sz w:val="24"/>
          <w:u w:val="single"/>
        </w:rPr>
        <w:t xml:space="preserve"> </w:t>
      </w:r>
      <w:r>
        <w:rPr>
          <w:rFonts w:hint="eastAsia"/>
          <w:u w:val="single"/>
          <w:lang w:val="en-US" w:eastAsia="zh-CN"/>
        </w:rPr>
        <w:t>装酒车间内部净化等改造项目</w:t>
      </w:r>
      <w:r>
        <w:rPr>
          <w:rFonts w:hint="eastAsia" w:ascii="宋体" w:hAnsi="宋体" w:eastAsia="宋体" w:cs="宋体"/>
          <w:sz w:val="24"/>
        </w:rPr>
        <w:t>工程（以下简称本工程）。</w:t>
      </w:r>
    </w:p>
    <w:p w14:paraId="3FF55CD3">
      <w:pPr>
        <w:spacing w:line="420" w:lineRule="exact"/>
        <w:ind w:firstLine="480" w:firstLineChars="200"/>
        <w:rPr>
          <w:rFonts w:ascii="宋体" w:hAnsi="宋体" w:eastAsia="宋体" w:cs="宋体"/>
          <w:sz w:val="24"/>
        </w:rPr>
      </w:pPr>
      <w:r>
        <w:rPr>
          <w:rFonts w:hint="eastAsia" w:ascii="宋体" w:hAnsi="宋体" w:eastAsia="宋体" w:cs="宋体"/>
          <w:sz w:val="24"/>
        </w:rPr>
        <w:t>2、工程地点：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4EE18F8D">
      <w:pPr>
        <w:spacing w:line="420" w:lineRule="exact"/>
        <w:ind w:firstLine="482" w:firstLineChars="200"/>
        <w:rPr>
          <w:rFonts w:ascii="宋体" w:hAnsi="宋体" w:eastAsia="宋体" w:cs="宋体"/>
          <w:b/>
          <w:sz w:val="24"/>
        </w:rPr>
      </w:pPr>
      <w:r>
        <w:rPr>
          <w:rFonts w:hint="eastAsia" w:ascii="宋体" w:hAnsi="宋体" w:eastAsia="宋体" w:cs="宋体"/>
          <w:b/>
          <w:sz w:val="24"/>
        </w:rPr>
        <w:t>二、承包方式</w:t>
      </w:r>
      <w:r>
        <w:rPr>
          <w:rFonts w:hint="eastAsia" w:ascii="宋体" w:hAnsi="宋体" w:eastAsia="宋体" w:cs="宋体"/>
          <w:b/>
          <w:sz w:val="24"/>
        </w:rPr>
        <w:tab/>
      </w:r>
    </w:p>
    <w:p w14:paraId="2336B287">
      <w:pPr>
        <w:autoSpaceDE w:val="0"/>
        <w:spacing w:line="420" w:lineRule="exact"/>
        <w:ind w:firstLine="480" w:firstLineChars="200"/>
        <w:rPr>
          <w:rFonts w:ascii="宋体" w:hAnsi="宋体" w:eastAsia="宋体" w:cs="宋体"/>
          <w:sz w:val="24"/>
        </w:rPr>
      </w:pPr>
      <w:r>
        <w:rPr>
          <w:rFonts w:hint="eastAsia" w:ascii="宋体" w:hAnsi="宋体" w:eastAsia="宋体" w:cs="宋体"/>
          <w:sz w:val="24"/>
          <w:lang w:val="en-US" w:eastAsia="zh-CN"/>
        </w:rPr>
        <w:t>包工包料</w:t>
      </w:r>
      <w:r>
        <w:rPr>
          <w:rFonts w:hint="eastAsia" w:ascii="宋体" w:hAnsi="宋体" w:eastAsia="宋体" w:cs="宋体"/>
          <w:sz w:val="24"/>
        </w:rPr>
        <w:t>（含模板、脚手架、施工机具及设备、辅材）</w:t>
      </w:r>
      <w:r>
        <w:rPr>
          <w:rFonts w:hint="eastAsia" w:ascii="宋体" w:hAnsi="宋体" w:eastAsia="宋体" w:cs="宋体"/>
          <w:bCs/>
          <w:sz w:val="24"/>
        </w:rPr>
        <w:t>，包工期、包质量、包进度、包安全文明施工。</w:t>
      </w:r>
    </w:p>
    <w:p w14:paraId="1EEF5ADB">
      <w:pPr>
        <w:spacing w:line="420" w:lineRule="exact"/>
        <w:ind w:firstLine="482" w:firstLineChars="200"/>
        <w:rPr>
          <w:rFonts w:hint="eastAsia" w:ascii="Arial" w:hAnsi="Arial" w:eastAsia="宋体" w:cs="Times New Roman"/>
          <w:b/>
          <w:kern w:val="0"/>
          <w:sz w:val="28"/>
          <w:szCs w:val="20"/>
          <w:lang w:val="en-US" w:eastAsia="zh-CN" w:bidi="ar-SA"/>
        </w:rPr>
      </w:pPr>
      <w:r>
        <w:rPr>
          <w:rFonts w:hint="eastAsia" w:ascii="宋体" w:hAnsi="宋体" w:eastAsia="宋体" w:cs="宋体"/>
          <w:b/>
          <w:sz w:val="24"/>
        </w:rPr>
        <w:t>三、承包内容</w:t>
      </w:r>
      <w:r>
        <w:rPr>
          <w:rFonts w:hint="eastAsia" w:ascii="宋体" w:hAnsi="宋体" w:eastAsia="宋体" w:cs="宋体"/>
          <w:b/>
          <w:sz w:val="24"/>
          <w:lang w:val="en-US" w:eastAsia="zh-CN"/>
        </w:rPr>
        <w:t>及承包费用</w:t>
      </w:r>
    </w:p>
    <w:tbl>
      <w:tblPr>
        <w:tblStyle w:val="12"/>
        <w:tblpPr w:leftFromText="180" w:rightFromText="180" w:vertAnchor="text" w:horzAnchor="page" w:tblpXSpec="center" w:tblpY="272"/>
        <w:tblOverlap w:val="never"/>
        <w:tblW w:w="8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1978"/>
        <w:gridCol w:w="1663"/>
        <w:gridCol w:w="1459"/>
        <w:gridCol w:w="2455"/>
      </w:tblGrid>
      <w:tr w14:paraId="6662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C3145D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78" w:type="dxa"/>
            <w:tcBorders>
              <w:top w:val="single" w:color="000000" w:sz="4" w:space="0"/>
              <w:left w:val="single" w:color="000000" w:sz="4" w:space="0"/>
              <w:bottom w:val="single" w:color="auto" w:sz="4" w:space="0"/>
              <w:right w:val="single" w:color="000000" w:sz="4" w:space="0"/>
            </w:tcBorders>
            <w:shd w:val="clear" w:color="auto" w:fill="auto"/>
            <w:vAlign w:val="center"/>
          </w:tcPr>
          <w:p w14:paraId="67CCB8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部位</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C4740C">
            <w:pPr>
              <w:keepNext w:val="0"/>
              <w:keepLines w:val="0"/>
              <w:widowControl/>
              <w:suppressLineNumbers w:val="0"/>
              <w:jc w:val="both"/>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做法</w:t>
            </w:r>
          </w:p>
        </w:tc>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14:paraId="7169C6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面积（㎡）</w:t>
            </w:r>
          </w:p>
        </w:tc>
        <w:tc>
          <w:tcPr>
            <w:tcW w:w="24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D04CE0">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备注</w:t>
            </w:r>
          </w:p>
        </w:tc>
      </w:tr>
      <w:tr w14:paraId="0A8E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956" w:type="dxa"/>
            <w:vMerge w:val="restart"/>
            <w:tcBorders>
              <w:top w:val="single" w:color="auto" w:sz="4" w:space="0"/>
              <w:left w:val="single" w:color="auto" w:sz="4" w:space="0"/>
              <w:right w:val="single" w:color="auto" w:sz="4" w:space="0"/>
            </w:tcBorders>
            <w:shd w:val="clear" w:color="auto" w:fill="auto"/>
            <w:vAlign w:val="center"/>
          </w:tcPr>
          <w:p w14:paraId="5E8F5D0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装酒车间一层地面</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66A001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物流通道</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37C09B6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金刚砂15-18cm地面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34B53B9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328</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222EF">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p>
        </w:tc>
      </w:tr>
      <w:tr w14:paraId="7BEE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956" w:type="dxa"/>
            <w:vMerge w:val="continue"/>
            <w:tcBorders>
              <w:left w:val="single" w:color="auto" w:sz="4" w:space="0"/>
              <w:right w:val="single" w:color="auto" w:sz="4" w:space="0"/>
            </w:tcBorders>
            <w:shd w:val="clear" w:color="auto" w:fill="auto"/>
            <w:vAlign w:val="center"/>
          </w:tcPr>
          <w:p w14:paraId="05FF0E8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083E2FC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灌装间、洗瓶间</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7F7E45D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不锈钢地板</w:t>
            </w:r>
            <w:r>
              <w:rPr>
                <w:rFonts w:hint="eastAsia" w:ascii="宋体" w:hAnsi="宋体" w:cs="宋体"/>
                <w:i w:val="0"/>
                <w:iCs w:val="0"/>
                <w:color w:val="000000" w:themeColor="text1"/>
                <w:sz w:val="24"/>
                <w:szCs w:val="24"/>
                <w:u w:val="none"/>
                <w:lang w:val="en-US" w:eastAsia="zh-CN"/>
                <w14:textFill>
                  <w14:solidFill>
                    <w14:schemeClr w14:val="tx1"/>
                  </w14:solidFill>
                </w14:textFill>
              </w:rPr>
              <w:t>下部混凝土15-18cm</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741D4DA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587</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0237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含下水管道埋设</w:t>
            </w:r>
          </w:p>
        </w:tc>
      </w:tr>
      <w:tr w14:paraId="24C5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956" w:type="dxa"/>
            <w:vMerge w:val="continue"/>
            <w:tcBorders>
              <w:left w:val="single" w:color="auto" w:sz="4" w:space="0"/>
              <w:right w:val="single" w:color="auto" w:sz="4" w:space="0"/>
            </w:tcBorders>
            <w:shd w:val="clear" w:color="auto" w:fill="auto"/>
            <w:vAlign w:val="center"/>
          </w:tcPr>
          <w:p w14:paraId="519872E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7D3DA3E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外包拆包区</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3ECDE3B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金刚砂15cm地面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1833AEA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447</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1FC7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含下水管道埋设</w:t>
            </w:r>
          </w:p>
        </w:tc>
      </w:tr>
      <w:tr w14:paraId="69F4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56" w:type="dxa"/>
            <w:vMerge w:val="continue"/>
            <w:tcBorders>
              <w:left w:val="single" w:color="auto" w:sz="4" w:space="0"/>
              <w:bottom w:val="single" w:color="auto" w:sz="4" w:space="0"/>
              <w:right w:val="single" w:color="auto" w:sz="4" w:space="0"/>
            </w:tcBorders>
            <w:shd w:val="clear" w:color="auto" w:fill="auto"/>
            <w:vAlign w:val="center"/>
          </w:tcPr>
          <w:p w14:paraId="574076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0A04587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参观通道、更衣室及走道、茶水间</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5F49A7E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4mm聚氨酯地面含15-18cm砼地面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22FF638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514</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4DD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含下水管道埋设</w:t>
            </w:r>
          </w:p>
        </w:tc>
      </w:tr>
      <w:tr w14:paraId="5804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2AC19C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装酒车间二层地面</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54ED1BA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参观走廊、洗手间、更衣室、茶水间</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7DA00B5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4mm聚氨酯地面含8-10cm砼地面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65686E5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630</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DAF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34BA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3A27FEA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立体库一层</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14:paraId="461492A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卸货区</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72BE4E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金刚砂8-10cm地面</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2CD837E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1200</w:t>
            </w:r>
          </w:p>
        </w:tc>
        <w:tc>
          <w:tcPr>
            <w:tcW w:w="2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03B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bl>
    <w:p w14:paraId="22105088">
      <w:pPr>
        <w:rPr>
          <w:rFonts w:hint="default"/>
          <w:lang w:val="en-US" w:eastAsia="zh-CN"/>
        </w:rPr>
      </w:pPr>
    </w:p>
    <w:p w14:paraId="48BAD28C">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1、含施工区域内排水管、地漏安装，排水管、地漏由甲方提供。</w:t>
      </w:r>
    </w:p>
    <w:p w14:paraId="4AD17BE6">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金刚砂地坪：金刚砂骨料5kg/㎡，混凝土密封固化剂不低于0.2kg/㎡。大板块切缝，（柱对柱切）切割缝处填聚氨酯胶。门洞口处，分仓缝设置铠装缝。混凝土地坪内需满铺6mm*6mm间距150的钢筋网片，钢纤维掺量20kg/m³；</w:t>
      </w:r>
    </w:p>
    <w:p w14:paraId="50C2416C">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3、聚氨酯地坪：聚氨酯砂浆4mm厚，品牌采用西卡或巴斯夫。混凝土地坪内需满铺6mm*6mm间距150的钢筋网片，钢纤维掺量20kg/m³；</w:t>
      </w:r>
    </w:p>
    <w:p w14:paraId="3F9BED0F">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4、原地坪剔凿由甲方进行，其余混凝土等施工材料由乙方提供，混凝标号为C30。</w:t>
      </w:r>
    </w:p>
    <w:p w14:paraId="07DE09BE">
      <w:pPr>
        <w:spacing w:line="312" w:lineRule="auto"/>
        <w:ind w:firstLine="480"/>
        <w:rPr>
          <w:rFonts w:hint="default" w:ascii="Times New Roman" w:hAnsi="Times New Roman" w:eastAsia="宋体" w:cs="Times New Roman"/>
          <w:lang w:val="en-US" w:eastAsia="zh-CN"/>
        </w:rPr>
      </w:pPr>
    </w:p>
    <w:p w14:paraId="3E3DAB80">
      <w:pPr>
        <w:ind w:firstLine="480"/>
        <w:jc w:val="left"/>
        <w:rPr>
          <w:rFonts w:hint="eastAsia"/>
        </w:rPr>
      </w:pPr>
      <w:r>
        <w:rPr>
          <w:rFonts w:hint="eastAsia" w:ascii="宋体" w:hAnsi="宋体" w:eastAsia="宋体" w:cs="宋体"/>
          <w:b/>
          <w:bCs/>
          <w:kern w:val="0"/>
          <w:sz w:val="24"/>
          <w:u w:val="single"/>
          <w:lang w:val="en-US" w:eastAsia="zh-CN"/>
        </w:rPr>
        <w:t>3、承包总价暂估人民币（大写）：。（包含</w:t>
      </w:r>
      <w:r>
        <w:rPr>
          <w:rFonts w:hint="eastAsia" w:ascii="宋体" w:hAnsi="宋体" w:cs="宋体"/>
          <w:b/>
          <w:bCs/>
          <w:kern w:val="0"/>
          <w:sz w:val="24"/>
          <w:u w:val="single"/>
          <w:lang w:val="en-US" w:eastAsia="zh-CN"/>
        </w:rPr>
        <w:t>9</w:t>
      </w:r>
      <w:r>
        <w:rPr>
          <w:rFonts w:hint="eastAsia" w:ascii="宋体" w:hAnsi="宋体" w:eastAsia="宋体" w:cs="宋体"/>
          <w:b/>
          <w:bCs/>
          <w:kern w:val="0"/>
          <w:sz w:val="24"/>
          <w:u w:val="single"/>
          <w:lang w:val="en-US" w:eastAsia="zh-CN"/>
        </w:rPr>
        <w:t>%的增值税专用发票）</w:t>
      </w:r>
    </w:p>
    <w:p w14:paraId="007E5B7B">
      <w:pPr>
        <w:ind w:firstLine="482" w:firstLineChars="200"/>
        <w:jc w:val="left"/>
        <w:rPr>
          <w:rFonts w:ascii="宋体" w:hAnsi="宋体" w:eastAsia="宋体" w:cs="宋体"/>
          <w:b/>
          <w:sz w:val="24"/>
        </w:rPr>
      </w:pPr>
      <w:r>
        <w:rPr>
          <w:rFonts w:hint="eastAsia" w:ascii="宋体" w:hAnsi="宋体" w:eastAsia="宋体" w:cs="宋体"/>
          <w:b/>
          <w:sz w:val="24"/>
        </w:rPr>
        <w:t>四、合同工期</w:t>
      </w:r>
    </w:p>
    <w:p w14:paraId="4E36A7C5">
      <w:pPr>
        <w:autoSpaceDE w:val="0"/>
        <w:spacing w:line="420" w:lineRule="exact"/>
        <w:ind w:firstLine="480" w:firstLineChars="200"/>
        <w:rPr>
          <w:rFonts w:ascii="宋体" w:hAnsi="宋体" w:eastAsia="宋体" w:cs="宋体"/>
          <w:sz w:val="24"/>
        </w:rPr>
      </w:pPr>
      <w:r>
        <w:rPr>
          <w:rFonts w:hint="eastAsia" w:ascii="宋体" w:hAnsi="宋体" w:eastAsia="宋体" w:cs="宋体"/>
          <w:bCs/>
          <w:sz w:val="24"/>
        </w:rPr>
        <w:t>1、 甲、乙双方定于</w:t>
      </w:r>
      <w:r>
        <w:rPr>
          <w:rFonts w:hint="eastAsia" w:ascii="宋体" w:hAnsi="宋体" w:eastAsia="宋体" w:cs="宋体"/>
          <w:b/>
          <w:bCs w:val="0"/>
          <w:sz w:val="24"/>
          <w:u w:val="single"/>
        </w:rPr>
        <w:t>202</w:t>
      </w:r>
      <w:r>
        <w:rPr>
          <w:rFonts w:hint="eastAsia" w:ascii="宋体" w:hAnsi="宋体" w:eastAsia="宋体" w:cs="宋体"/>
          <w:b/>
          <w:bCs w:val="0"/>
          <w:sz w:val="24"/>
          <w:u w:val="single"/>
          <w:lang w:val="en-US" w:eastAsia="zh-CN"/>
        </w:rPr>
        <w:t>5</w:t>
      </w:r>
      <w:r>
        <w:rPr>
          <w:rFonts w:hint="eastAsia" w:ascii="宋体" w:hAnsi="宋体" w:eastAsia="宋体" w:cs="宋体"/>
          <w:b/>
          <w:bCs w:val="0"/>
          <w:sz w:val="24"/>
          <w:u w:val="single"/>
        </w:rPr>
        <w:t>年</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月</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日</w:t>
      </w:r>
      <w:r>
        <w:rPr>
          <w:rFonts w:hint="eastAsia" w:ascii="宋体" w:hAnsi="宋体" w:eastAsia="宋体" w:cs="宋体"/>
          <w:b/>
          <w:bCs w:val="0"/>
          <w:sz w:val="24"/>
        </w:rPr>
        <w:t>开工，</w:t>
      </w:r>
      <w:r>
        <w:rPr>
          <w:rFonts w:hint="eastAsia" w:ascii="宋体" w:hAnsi="宋体" w:eastAsia="宋体" w:cs="宋体"/>
          <w:b/>
          <w:bCs w:val="0"/>
          <w:sz w:val="24"/>
          <w:u w:val="single"/>
        </w:rPr>
        <w:t>202</w:t>
      </w:r>
      <w:r>
        <w:rPr>
          <w:rFonts w:hint="eastAsia" w:ascii="宋体" w:hAnsi="宋体" w:eastAsia="宋体" w:cs="宋体"/>
          <w:b/>
          <w:bCs w:val="0"/>
          <w:sz w:val="24"/>
          <w:u w:val="single"/>
          <w:lang w:val="en-US" w:eastAsia="zh-CN"/>
        </w:rPr>
        <w:t>5</w:t>
      </w:r>
      <w:r>
        <w:rPr>
          <w:rFonts w:hint="eastAsia" w:ascii="宋体" w:hAnsi="宋体" w:eastAsia="宋体" w:cs="宋体"/>
          <w:b/>
          <w:bCs w:val="0"/>
          <w:sz w:val="24"/>
          <w:u w:val="single"/>
        </w:rPr>
        <w:t>年</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月</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日</w:t>
      </w:r>
      <w:r>
        <w:rPr>
          <w:rFonts w:hint="eastAsia" w:ascii="宋体" w:hAnsi="宋体" w:eastAsia="宋体" w:cs="宋体"/>
          <w:b/>
          <w:bCs w:val="0"/>
          <w:sz w:val="24"/>
        </w:rPr>
        <w:t>竣工</w:t>
      </w:r>
      <w:r>
        <w:rPr>
          <w:rFonts w:hint="eastAsia" w:ascii="宋体" w:hAnsi="宋体" w:eastAsia="宋体" w:cs="宋体"/>
          <w:bCs/>
          <w:sz w:val="24"/>
        </w:rPr>
        <w:t>，</w:t>
      </w:r>
      <w:r>
        <w:rPr>
          <w:rFonts w:hint="eastAsia" w:ascii="宋体" w:hAnsi="宋体" w:eastAsia="宋体" w:cs="宋体"/>
          <w:sz w:val="24"/>
        </w:rPr>
        <w:t>合同总工期为</w:t>
      </w:r>
      <w:r>
        <w:rPr>
          <w:rFonts w:hint="eastAsia" w:ascii="宋体" w:hAnsi="宋体" w:cs="宋体"/>
          <w:sz w:val="24"/>
          <w:u w:val="single"/>
          <w:lang w:val="en-US" w:eastAsia="zh-CN"/>
        </w:rPr>
        <w:t>60</w:t>
      </w:r>
      <w:r>
        <w:rPr>
          <w:rFonts w:hint="eastAsia" w:ascii="宋体" w:hAnsi="宋体" w:eastAsia="宋体" w:cs="宋体"/>
          <w:sz w:val="24"/>
        </w:rPr>
        <w:t>个日历天</w:t>
      </w:r>
      <w:r>
        <w:rPr>
          <w:rFonts w:hint="eastAsia" w:ascii="宋体" w:hAnsi="宋体" w:eastAsia="宋体" w:cs="宋体"/>
          <w:bCs/>
          <w:sz w:val="24"/>
        </w:rPr>
        <w:t>，</w:t>
      </w:r>
      <w:r>
        <w:rPr>
          <w:rFonts w:hint="eastAsia" w:ascii="宋体" w:hAnsi="宋体" w:eastAsia="宋体" w:cs="宋体"/>
          <w:sz w:val="24"/>
        </w:rPr>
        <w:t>乙方保证在合同约定的完工日期前通过甲方的合格验收。</w:t>
      </w:r>
    </w:p>
    <w:p w14:paraId="2849AC27">
      <w:pPr>
        <w:spacing w:line="420" w:lineRule="exact"/>
        <w:ind w:firstLine="480" w:firstLineChars="200"/>
        <w:rPr>
          <w:rFonts w:ascii="宋体" w:hAnsi="宋体" w:eastAsia="宋体" w:cs="宋体"/>
          <w:sz w:val="24"/>
        </w:rPr>
      </w:pPr>
      <w:r>
        <w:rPr>
          <w:rFonts w:hint="eastAsia" w:ascii="宋体" w:hAnsi="宋体" w:eastAsia="宋体" w:cs="宋体"/>
          <w:sz w:val="24"/>
        </w:rPr>
        <w:t>2、如遇下列情况，经乙方书面写明理由，甲方相关人员书面签字同意后，给予乙方合理顺延工期。</w:t>
      </w:r>
    </w:p>
    <w:p w14:paraId="423D2F6F">
      <w:pPr>
        <w:spacing w:line="420" w:lineRule="exact"/>
        <w:ind w:firstLine="480" w:firstLineChars="200"/>
        <w:rPr>
          <w:rFonts w:ascii="宋体" w:hAnsi="宋体" w:eastAsia="宋体" w:cs="宋体"/>
          <w:sz w:val="24"/>
        </w:rPr>
      </w:pPr>
      <w:r>
        <w:rPr>
          <w:rFonts w:hint="eastAsia" w:ascii="宋体" w:hAnsi="宋体" w:eastAsia="宋体" w:cs="宋体"/>
          <w:sz w:val="24"/>
        </w:rPr>
        <w:t>1）停水、停电2小时以上；</w:t>
      </w:r>
    </w:p>
    <w:p w14:paraId="356FD552">
      <w:pPr>
        <w:spacing w:line="420" w:lineRule="exact"/>
        <w:ind w:firstLine="480" w:firstLineChars="200"/>
        <w:rPr>
          <w:rFonts w:ascii="宋体" w:hAnsi="宋体" w:eastAsia="宋体" w:cs="宋体"/>
          <w:sz w:val="24"/>
        </w:rPr>
      </w:pPr>
      <w:r>
        <w:rPr>
          <w:rFonts w:hint="eastAsia" w:ascii="宋体" w:hAnsi="宋体" w:eastAsia="宋体" w:cs="宋体"/>
          <w:sz w:val="24"/>
        </w:rPr>
        <w:t>2）设计图纸变更；</w:t>
      </w:r>
    </w:p>
    <w:p w14:paraId="41FDE8E0">
      <w:pPr>
        <w:spacing w:line="420" w:lineRule="exact"/>
        <w:ind w:firstLine="480" w:firstLineChars="200"/>
        <w:rPr>
          <w:rFonts w:hint="eastAsia" w:ascii="宋体" w:hAnsi="宋体" w:eastAsia="宋体" w:cs="宋体"/>
          <w:sz w:val="24"/>
        </w:rPr>
      </w:pPr>
      <w:r>
        <w:rPr>
          <w:rFonts w:hint="eastAsia" w:ascii="宋体" w:hAnsi="宋体" w:eastAsia="宋体" w:cs="宋体"/>
          <w:sz w:val="24"/>
        </w:rPr>
        <w:t>3）其它不可抗力的原因。</w:t>
      </w:r>
    </w:p>
    <w:p w14:paraId="7080AF0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五、结算办法</w:t>
      </w:r>
    </w:p>
    <w:p w14:paraId="5F727D3D">
      <w:pPr>
        <w:spacing w:line="42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1、依据合同进行结算。</w:t>
      </w:r>
    </w:p>
    <w:p w14:paraId="56F434C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六、工程签证：</w:t>
      </w:r>
    </w:p>
    <w:p w14:paraId="0EB8E632">
      <w:pPr>
        <w:pageBreakBefore w:val="0"/>
        <w:widowControl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确认的签证按本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约定的上述</w:t>
      </w:r>
      <w:r>
        <w:rPr>
          <w:rFonts w:hint="eastAsia" w:ascii="宋体" w:hAnsi="宋体" w:eastAsia="宋体" w:cs="宋体"/>
          <w:color w:val="auto"/>
          <w:sz w:val="24"/>
          <w:szCs w:val="24"/>
          <w:highlight w:val="none"/>
          <w:lang w:eastAsia="zh-CN"/>
        </w:rPr>
        <w:t>结算办法</w:t>
      </w:r>
      <w:r>
        <w:rPr>
          <w:rFonts w:hint="eastAsia" w:ascii="宋体" w:hAnsi="宋体" w:eastAsia="宋体" w:cs="宋体"/>
          <w:color w:val="auto"/>
          <w:sz w:val="24"/>
          <w:szCs w:val="24"/>
          <w:highlight w:val="none"/>
        </w:rPr>
        <w:t>计算费用。</w:t>
      </w:r>
    </w:p>
    <w:p w14:paraId="630A0E2A">
      <w:pPr>
        <w:pageBreakBefore w:val="0"/>
        <w:widowControl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自签证内容发生之日起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天内，向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提交签证单</w:t>
      </w:r>
      <w:r>
        <w:rPr>
          <w:rFonts w:hint="eastAsia" w:ascii="宋体" w:hAnsi="宋体" w:eastAsia="宋体" w:cs="宋体"/>
          <w:color w:val="auto"/>
          <w:sz w:val="24"/>
          <w:szCs w:val="24"/>
          <w:highlight w:val="none"/>
          <w:lang w:eastAsia="zh-CN"/>
        </w:rPr>
        <w:t>（须后附相关照片）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天内给予签证确认。如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延期提交签证单的，视为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放弃签证要求，</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将不予认可该签证单。</w:t>
      </w:r>
    </w:p>
    <w:p w14:paraId="12E85BDE">
      <w:pPr>
        <w:pageBreakBefore w:val="0"/>
        <w:widowControl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3、签证单须甲方施工管理人员至少两人签字。</w:t>
      </w:r>
    </w:p>
    <w:p w14:paraId="512F17FF">
      <w:pPr>
        <w:pageBreakBefore w:val="0"/>
        <w:widowControl w:val="0"/>
        <w:kinsoku/>
        <w:wordWrap/>
        <w:overflowPunct/>
        <w:topLinePunct w:val="0"/>
        <w:autoSpaceDN/>
        <w:bidi w:val="0"/>
        <w:spacing w:line="420" w:lineRule="exact"/>
        <w:ind w:firstLine="482" w:firstLineChars="200"/>
        <w:textAlignment w:val="auto"/>
        <w:rPr>
          <w:rFonts w:ascii="宋体" w:hAnsi="宋体" w:eastAsia="宋体" w:cs="宋体"/>
          <w:b/>
          <w:sz w:val="24"/>
          <w:highlight w:val="none"/>
        </w:rPr>
      </w:pPr>
      <w:r>
        <w:rPr>
          <w:rFonts w:hint="eastAsia" w:ascii="宋体" w:hAnsi="宋体" w:eastAsia="宋体" w:cs="宋体"/>
          <w:b/>
          <w:sz w:val="24"/>
          <w:highlight w:val="none"/>
          <w:lang w:eastAsia="zh-CN"/>
        </w:rPr>
        <w:t>七、</w:t>
      </w:r>
      <w:r>
        <w:rPr>
          <w:rFonts w:hint="eastAsia" w:ascii="宋体" w:hAnsi="宋体" w:eastAsia="宋体" w:cs="宋体"/>
          <w:b/>
          <w:sz w:val="24"/>
          <w:highlight w:val="none"/>
        </w:rPr>
        <w:t>税金：</w:t>
      </w:r>
    </w:p>
    <w:p w14:paraId="55D602FD">
      <w:pPr>
        <w:pStyle w:val="3"/>
        <w:adjustRightInd w:val="0"/>
        <w:spacing w:before="0" w:after="0" w:line="420" w:lineRule="exact"/>
        <w:ind w:firstLine="480" w:firstLineChars="200"/>
        <w:rPr>
          <w:rFonts w:hint="default" w:ascii="宋体" w:hAnsi="宋体" w:eastAsia="宋体" w:cs="宋体"/>
          <w:b w:val="0"/>
          <w:bCs w:val="0"/>
          <w:color w:val="auto"/>
          <w:kern w:val="2"/>
          <w:sz w:val="24"/>
          <w:szCs w:val="24"/>
          <w:highlight w:val="none"/>
          <w:lang w:val="en-US" w:eastAsia="zh-CN" w:bidi="ar-SA"/>
        </w:rPr>
      </w:pPr>
      <w:bookmarkStart w:id="79" w:name="_Toc162276473"/>
      <w:bookmarkStart w:id="80" w:name="_Toc275166588"/>
      <w:bookmarkStart w:id="81" w:name="_Toc149528809"/>
      <w:bookmarkStart w:id="82" w:name="_Toc274500620"/>
      <w:bookmarkStart w:id="83" w:name="_Toc138583759"/>
      <w:bookmarkStart w:id="84" w:name="_Toc149528806"/>
      <w:bookmarkStart w:id="85" w:name="_Toc274500617"/>
      <w:bookmarkStart w:id="86" w:name="_Toc162276470"/>
      <w:bookmarkStart w:id="87" w:name="_Toc275166585"/>
      <w:bookmarkStart w:id="88" w:name="_Toc138583756"/>
      <w:r>
        <w:rPr>
          <w:rFonts w:hint="eastAsia" w:ascii="宋体" w:hAnsi="宋体" w:eastAsia="宋体" w:cs="宋体"/>
          <w:b w:val="0"/>
          <w:bCs w:val="0"/>
          <w:color w:val="auto"/>
          <w:kern w:val="2"/>
          <w:sz w:val="24"/>
          <w:szCs w:val="24"/>
          <w:highlight w:val="none"/>
          <w:lang w:val="en-US" w:eastAsia="zh-CN" w:bidi="ar-SA"/>
        </w:rPr>
        <w:t>1、开具</w:t>
      </w:r>
      <w:r>
        <w:rPr>
          <w:rFonts w:hint="eastAsia" w:ascii="宋体" w:hAnsi="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%的增值税专用发票</w:t>
      </w:r>
      <w:r>
        <w:rPr>
          <w:rFonts w:hint="eastAsia" w:ascii="宋体" w:hAnsi="宋体" w:cs="宋体"/>
          <w:b w:val="0"/>
          <w:bCs w:val="0"/>
          <w:color w:val="auto"/>
          <w:kern w:val="2"/>
          <w:sz w:val="24"/>
          <w:szCs w:val="24"/>
          <w:highlight w:val="none"/>
          <w:lang w:val="en-US" w:eastAsia="zh-CN" w:bidi="ar-SA"/>
        </w:rPr>
        <w:t>.</w:t>
      </w:r>
    </w:p>
    <w:p w14:paraId="2878C247">
      <w:pPr>
        <w:pStyle w:val="3"/>
        <w:adjustRightInd w:val="0"/>
        <w:spacing w:before="0" w:after="0" w:line="420" w:lineRule="exact"/>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八</w:t>
      </w:r>
      <w:r>
        <w:rPr>
          <w:rFonts w:hint="eastAsia" w:ascii="宋体" w:hAnsi="宋体" w:eastAsia="宋体" w:cs="宋体"/>
          <w:bCs w:val="0"/>
          <w:sz w:val="24"/>
          <w:szCs w:val="24"/>
        </w:rPr>
        <w:t>、工程款的支付</w:t>
      </w:r>
      <w:bookmarkEnd w:id="79"/>
      <w:bookmarkEnd w:id="80"/>
      <w:bookmarkEnd w:id="81"/>
      <w:bookmarkEnd w:id="82"/>
      <w:bookmarkEnd w:id="83"/>
    </w:p>
    <w:bookmarkEnd w:id="84"/>
    <w:bookmarkEnd w:id="85"/>
    <w:bookmarkEnd w:id="86"/>
    <w:bookmarkEnd w:id="87"/>
    <w:bookmarkEnd w:id="88"/>
    <w:p w14:paraId="30531DB0">
      <w:pPr>
        <w:spacing w:line="312" w:lineRule="auto"/>
        <w:ind w:firstLine="480"/>
        <w:rPr>
          <w:rFonts w:hint="eastAsia" w:cs="Times New Roman"/>
          <w:lang w:val="en-US" w:eastAsia="zh-CN"/>
        </w:rPr>
      </w:pPr>
      <w:r>
        <w:rPr>
          <w:rFonts w:hint="eastAsia" w:cs="Times New Roman"/>
          <w:lang w:val="en-US" w:eastAsia="zh-CN"/>
        </w:rPr>
        <w:t>合同签订5日内预付合同总额的20%为</w:t>
      </w:r>
      <w:r>
        <w:rPr>
          <w:rFonts w:hint="eastAsia" w:ascii="Times New Roman" w:hAnsi="Times New Roman" w:eastAsia="宋体" w:cs="Times New Roman"/>
          <w:lang w:val="en-US" w:eastAsia="zh-CN"/>
        </w:rPr>
        <w:t>工程预付款</w:t>
      </w:r>
      <w:r>
        <w:rPr>
          <w:rFonts w:hint="eastAsia" w:cs="Times New Roman"/>
          <w:lang w:val="en-US" w:eastAsia="zh-CN"/>
        </w:rPr>
        <w:t>；工程竣工验收入账后，</w:t>
      </w:r>
      <w:r>
        <w:rPr>
          <w:rFonts w:hint="eastAsia" w:ascii="Times New Roman" w:hAnsi="Times New Roman" w:eastAsia="宋体" w:cs="Times New Roman"/>
          <w:lang w:val="en-US" w:eastAsia="zh-CN"/>
        </w:rPr>
        <w:t>乙方开具全额增值税发票审核入账后10日内，甲方向乙方支付至工程总结算款的95%，剩余5%为质保金。质保期为</w:t>
      </w:r>
      <w:r>
        <w:rPr>
          <w:rFonts w:hint="eastAsia" w:cs="Times New Roman"/>
          <w:lang w:val="en-US" w:eastAsia="zh-CN"/>
        </w:rPr>
        <w:t>5</w:t>
      </w:r>
      <w:r>
        <w:rPr>
          <w:rFonts w:hint="eastAsia" w:ascii="Times New Roman" w:hAnsi="Times New Roman" w:eastAsia="宋体" w:cs="Times New Roman"/>
          <w:lang w:val="en-US" w:eastAsia="zh-CN"/>
        </w:rPr>
        <w:t>年，保修期满一年无质量问题，无息支付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二</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三</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1</w:t>
      </w:r>
      <w:r>
        <w:rPr>
          <w:rFonts w:hint="eastAsia" w:ascii="Times New Roman" w:hAnsi="Times New Roman" w:eastAsia="宋体" w:cs="Times New Roman"/>
          <w:lang w:val="en-US" w:eastAsia="zh-CN"/>
        </w:rPr>
        <w:t>%。工程款的支付方式：</w:t>
      </w:r>
      <w:r>
        <w:rPr>
          <w:rFonts w:hint="eastAsia" w:cs="Times New Roman"/>
          <w:lang w:val="en-US" w:eastAsia="zh-CN"/>
        </w:rPr>
        <w:t>银行汇票。</w:t>
      </w:r>
    </w:p>
    <w:p w14:paraId="41F2F7A1">
      <w:pPr>
        <w:pStyle w:val="3"/>
        <w:spacing w:before="0" w:after="0" w:line="420" w:lineRule="exact"/>
        <w:ind w:firstLine="480" w:firstLineChars="200"/>
        <w:rPr>
          <w:rFonts w:hint="eastAsia" w:ascii="Times New Roman" w:hAnsi="Times New Roman" w:eastAsia="宋体" w:cs="Times New Roman"/>
          <w:b w:val="0"/>
          <w:bCs/>
          <w:spacing w:val="0"/>
          <w:kern w:val="2"/>
          <w:sz w:val="24"/>
          <w:szCs w:val="24"/>
          <w:lang w:val="en-US" w:eastAsia="zh-CN" w:bidi="ar-SA"/>
        </w:rPr>
      </w:pPr>
      <w:r>
        <w:rPr>
          <w:rFonts w:hint="eastAsia" w:ascii="Times New Roman" w:hAnsi="Times New Roman" w:eastAsia="宋体" w:cs="Times New Roman"/>
          <w:b w:val="0"/>
          <w:bCs/>
          <w:spacing w:val="0"/>
          <w:kern w:val="2"/>
          <w:sz w:val="24"/>
          <w:szCs w:val="24"/>
          <w:lang w:val="en-US" w:eastAsia="zh-CN" w:bidi="ar-SA"/>
        </w:rPr>
        <w:t>每次付款乙方需开具相对应数额的专用增值税发票</w:t>
      </w:r>
      <w:r>
        <w:rPr>
          <w:rFonts w:hint="eastAsia" w:eastAsia="宋体" w:cs="Times New Roman"/>
          <w:b w:val="0"/>
          <w:bCs/>
          <w:spacing w:val="0"/>
          <w:kern w:val="2"/>
          <w:sz w:val="24"/>
          <w:szCs w:val="24"/>
          <w:lang w:val="en-US" w:eastAsia="zh-CN" w:bidi="ar-SA"/>
        </w:rPr>
        <w:t>（9%）</w:t>
      </w:r>
      <w:r>
        <w:rPr>
          <w:rFonts w:hint="eastAsia" w:ascii="Times New Roman" w:hAnsi="Times New Roman" w:eastAsia="宋体" w:cs="Times New Roman"/>
          <w:b w:val="0"/>
          <w:bCs/>
          <w:spacing w:val="0"/>
          <w:kern w:val="2"/>
          <w:sz w:val="24"/>
          <w:szCs w:val="24"/>
          <w:lang w:val="en-US" w:eastAsia="zh-CN" w:bidi="ar-SA"/>
        </w:rPr>
        <w:t>。</w:t>
      </w:r>
    </w:p>
    <w:p w14:paraId="1C7A70EA">
      <w:pPr>
        <w:pStyle w:val="3"/>
        <w:spacing w:before="0" w:after="0" w:line="420" w:lineRule="exact"/>
        <w:ind w:firstLine="482" w:firstLineChars="200"/>
        <w:rPr>
          <w:rFonts w:ascii="宋体" w:hAnsi="宋体" w:eastAsia="宋体" w:cs="宋体"/>
          <w:b w:val="0"/>
          <w:bCs w:val="0"/>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、工程质量</w:t>
      </w:r>
    </w:p>
    <w:p w14:paraId="491A591E">
      <w:pPr>
        <w:spacing w:line="420" w:lineRule="exact"/>
        <w:ind w:firstLine="480" w:firstLineChars="200"/>
        <w:rPr>
          <w:rFonts w:ascii="宋体" w:hAnsi="宋体" w:eastAsia="宋体" w:cs="宋体"/>
          <w:sz w:val="24"/>
        </w:rPr>
      </w:pPr>
      <w:bookmarkStart w:id="89" w:name="_Toc149528805"/>
      <w:bookmarkStart w:id="90" w:name="_Toc162276469"/>
      <w:bookmarkStart w:id="91" w:name="_Toc138583755"/>
      <w:bookmarkStart w:id="92" w:name="_Toc184023368"/>
      <w:bookmarkStart w:id="93" w:name="_Toc138583764"/>
      <w:bookmarkStart w:id="94" w:name="_Toc161824999"/>
      <w:bookmarkStart w:id="95" w:name="_Toc182548343"/>
      <w:bookmarkStart w:id="96" w:name="_Toc179616668"/>
      <w:bookmarkStart w:id="97" w:name="_Toc183170866"/>
      <w:bookmarkStart w:id="98" w:name="_Toc183781603"/>
      <w:bookmarkStart w:id="99" w:name="_Toc183781326"/>
      <w:bookmarkStart w:id="100" w:name="_Toc184023472"/>
      <w:bookmarkStart w:id="101" w:name="_Toc183780601"/>
      <w:bookmarkStart w:id="102" w:name="_Toc274500626"/>
      <w:bookmarkStart w:id="103" w:name="_Toc183781707"/>
      <w:bookmarkStart w:id="104" w:name="_Toc149528814"/>
      <w:bookmarkStart w:id="105" w:name="_Toc179617276"/>
      <w:bookmarkStart w:id="106" w:name="_Toc183781379"/>
      <w:bookmarkStart w:id="107" w:name="_Toc161821574"/>
      <w:bookmarkStart w:id="108" w:name="_Toc206404645"/>
      <w:bookmarkStart w:id="109" w:name="_Toc183781218"/>
      <w:bookmarkStart w:id="110" w:name="_Toc179617843"/>
      <w:bookmarkStart w:id="111" w:name="_Toc162276478"/>
      <w:bookmarkStart w:id="112" w:name="_Toc161821390"/>
      <w:bookmarkStart w:id="113" w:name="_Toc183781873"/>
      <w:bookmarkStart w:id="114" w:name="_Toc275166595"/>
      <w:bookmarkStart w:id="115" w:name="_Toc136335498"/>
      <w:bookmarkStart w:id="116" w:name="_Toc136142157"/>
      <w:r>
        <w:rPr>
          <w:rFonts w:hint="eastAsia" w:ascii="宋体" w:hAnsi="宋体" w:eastAsia="宋体" w:cs="宋体"/>
          <w:sz w:val="24"/>
        </w:rPr>
        <w:t>本工程的工程质量要求为</w:t>
      </w:r>
      <w:r>
        <w:rPr>
          <w:rFonts w:hint="eastAsia" w:ascii="宋体" w:hAnsi="宋体" w:eastAsia="宋体" w:cs="宋体"/>
          <w:sz w:val="24"/>
          <w:u w:val="single"/>
        </w:rPr>
        <w:t xml:space="preserve"> </w:t>
      </w:r>
      <w:r>
        <w:rPr>
          <w:rFonts w:hint="eastAsia" w:ascii="宋体" w:hAnsi="宋体" w:eastAsia="宋体" w:cs="宋体"/>
          <w:b/>
          <w:bCs/>
          <w:sz w:val="24"/>
          <w:u w:val="single"/>
        </w:rPr>
        <w:t>合格</w:t>
      </w:r>
      <w:r>
        <w:rPr>
          <w:rFonts w:hint="eastAsia" w:ascii="宋体" w:hAnsi="宋体" w:eastAsia="宋体" w:cs="宋体"/>
          <w:sz w:val="24"/>
          <w:u w:val="single"/>
        </w:rPr>
        <w:t xml:space="preserve"> </w:t>
      </w:r>
      <w:r>
        <w:rPr>
          <w:rFonts w:hint="eastAsia" w:ascii="宋体" w:hAnsi="宋体" w:eastAsia="宋体" w:cs="宋体"/>
          <w:sz w:val="24"/>
        </w:rPr>
        <w:t>标准。若工程的设计说明、施工说明及做法说明和要求等与国家规范及地方政府有关的现行规定之间有差异，乙方须按较高的标准执行。工程质量不符合设计要求，或者质量不合格者，甲方可要求乙方停工和返工，由此产生的费用和损失均由乙方承担，且工期不予顺延。</w:t>
      </w:r>
    </w:p>
    <w:bookmarkEnd w:id="89"/>
    <w:bookmarkEnd w:id="90"/>
    <w:bookmarkEnd w:id="91"/>
    <w:p w14:paraId="0DC74673">
      <w:pPr>
        <w:spacing w:line="420" w:lineRule="exact"/>
        <w:ind w:firstLine="482" w:firstLineChars="200"/>
        <w:rPr>
          <w:rFonts w:ascii="宋体" w:hAnsi="宋体" w:eastAsia="宋体" w:cs="宋体"/>
          <w:b/>
          <w:bCs/>
          <w:sz w:val="24"/>
        </w:rPr>
      </w:pPr>
      <w:r>
        <w:rPr>
          <w:rFonts w:hint="eastAsia" w:ascii="宋体" w:hAnsi="宋体" w:eastAsia="宋体" w:cs="宋体"/>
          <w:b/>
          <w:bCs/>
          <w:sz w:val="24"/>
          <w:lang w:val="en-US" w:eastAsia="zh-CN"/>
        </w:rPr>
        <w:t>十</w:t>
      </w:r>
      <w:r>
        <w:rPr>
          <w:rFonts w:hint="eastAsia" w:ascii="宋体" w:hAnsi="宋体" w:eastAsia="宋体" w:cs="宋体"/>
          <w:b/>
          <w:bCs/>
          <w:sz w:val="24"/>
        </w:rPr>
        <w:t>、安全文明施工</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1BD43941">
      <w:pPr>
        <w:spacing w:line="420" w:lineRule="exact"/>
        <w:ind w:firstLine="480" w:firstLineChars="200"/>
        <w:rPr>
          <w:rFonts w:ascii="宋体" w:hAnsi="宋体" w:eastAsia="宋体" w:cs="宋体"/>
          <w:sz w:val="24"/>
        </w:rPr>
      </w:pPr>
      <w:r>
        <w:rPr>
          <w:rFonts w:hint="eastAsia" w:ascii="宋体" w:hAnsi="宋体" w:eastAsia="宋体" w:cs="宋体"/>
          <w:sz w:val="24"/>
        </w:rPr>
        <w:t>1、 乙方须为现场工作的乙方全部人员购买人身及意外伤害保险，同时须要求其在现场工作的人员遵守安全管理生产法规和有关制度，遵守厂规厂纪，遵守安全守则，做好施工人员安全文明教育和培训工作，配备必要的安全防护用品。因施工所引起的安全事故、工伤责任及造成他人财产和人身损害的，均由乙方负责，甲方不承担任何责任。</w:t>
      </w:r>
    </w:p>
    <w:p w14:paraId="22936ACD">
      <w:pPr>
        <w:spacing w:line="420" w:lineRule="exact"/>
        <w:ind w:firstLine="480" w:firstLineChars="200"/>
        <w:rPr>
          <w:rFonts w:ascii="宋体" w:hAnsi="宋体" w:eastAsia="宋体" w:cs="宋体"/>
          <w:sz w:val="24"/>
        </w:rPr>
      </w:pPr>
      <w:r>
        <w:rPr>
          <w:rFonts w:hint="eastAsia" w:ascii="宋体" w:hAnsi="宋体" w:eastAsia="宋体" w:cs="宋体"/>
          <w:sz w:val="24"/>
        </w:rPr>
        <w:t>2、乙方现场管理人员应具有相关证书，特种作业人员须持证上岗。</w:t>
      </w:r>
    </w:p>
    <w:p w14:paraId="7B162CFE">
      <w:pPr>
        <w:spacing w:line="420" w:lineRule="exact"/>
        <w:ind w:firstLine="480" w:firstLineChars="200"/>
        <w:rPr>
          <w:rFonts w:ascii="宋体" w:hAnsi="宋体" w:eastAsia="宋体" w:cs="宋体"/>
          <w:sz w:val="24"/>
        </w:rPr>
      </w:pPr>
      <w:r>
        <w:rPr>
          <w:rFonts w:hint="eastAsia" w:ascii="宋体" w:hAnsi="宋体" w:eastAsia="宋体" w:cs="宋体"/>
          <w:sz w:val="24"/>
        </w:rPr>
        <w:t>3、乙方须遵守政府相关部门的安全文明施工和扬尘治理规定，本工程的安全文明施工、扬尘治理措施费，乙方须按国家或省、市相关部门的要求使用，因乙方未履行上述约定而造成的任何损失和责任，均由乙方自行承担。</w:t>
      </w:r>
    </w:p>
    <w:p w14:paraId="4B4E65C3">
      <w:pPr>
        <w:spacing w:line="420" w:lineRule="exact"/>
        <w:ind w:firstLine="480" w:firstLineChars="200"/>
        <w:rPr>
          <w:rFonts w:ascii="宋体" w:hAnsi="宋体" w:eastAsia="宋体" w:cs="宋体"/>
          <w:sz w:val="24"/>
        </w:rPr>
      </w:pPr>
      <w:r>
        <w:rPr>
          <w:rFonts w:hint="eastAsia" w:ascii="宋体" w:hAnsi="宋体" w:eastAsia="宋体" w:cs="宋体"/>
          <w:sz w:val="24"/>
        </w:rPr>
        <w:t>4、乙方应坚持安全第一、文明施工；在施工过程中，乙方应对乙方所属人员采取必要的安全防护措施，保障作业人员的人身安全和施工安全，防止事故的发生；乙方必须建立、健全安全生产各项管理制度，组织员工进行业务培训和安全生产教育；特殊作业人员必须持证上岗，以确保安全作业。乙方作业过程中发生的工伤或人身损害、设备事故或其它事故等，所涉及的责任、赔偿费用及法律责任均由乙方承担，与甲方无任何关系，甲方不承担任何连带责任和费用。因此给甲方造成损失的，乙方应赔偿甲方的一切损失。</w:t>
      </w:r>
    </w:p>
    <w:p w14:paraId="0F303F03">
      <w:pPr>
        <w:spacing w:line="420" w:lineRule="exact"/>
        <w:ind w:firstLine="480" w:firstLineChars="200"/>
        <w:rPr>
          <w:rFonts w:ascii="宋体" w:hAnsi="宋体" w:eastAsia="宋体" w:cs="宋体"/>
          <w:sz w:val="24"/>
        </w:rPr>
      </w:pPr>
      <w:r>
        <w:rPr>
          <w:rFonts w:hint="eastAsia" w:ascii="宋体" w:hAnsi="宋体" w:eastAsia="宋体" w:cs="宋体"/>
          <w:sz w:val="24"/>
        </w:rPr>
        <w:t>5、乙方所属人员发生的劳务纠纷、劳动争议纠纷、工伤及工伤赔偿、伤残及伤残赔偿、患病、非因工负伤、事故赔偿费用及安全事故的处理等，均由乙方负责，与甲方无关，甲方概不负责。甲方与乙方所属人员不存在任何劳动关系和雇佣关系。</w:t>
      </w:r>
    </w:p>
    <w:p w14:paraId="7DC555AB">
      <w:pPr>
        <w:pStyle w:val="3"/>
        <w:spacing w:before="0" w:after="0" w:line="42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6、本合同中“乙方所属人员”指：与乙方存在劳务关系、劳动关系、雇佣关系的人员。</w:t>
      </w:r>
    </w:p>
    <w:p w14:paraId="01D94C9A">
      <w:pPr>
        <w:pStyle w:val="3"/>
        <w:spacing w:before="0" w:after="0" w:line="420" w:lineRule="exact"/>
        <w:ind w:firstLine="482" w:firstLineChars="200"/>
        <w:rPr>
          <w:rFonts w:ascii="宋体" w:hAnsi="宋体" w:eastAsia="宋体" w:cs="宋体"/>
          <w:sz w:val="24"/>
          <w:szCs w:val="24"/>
        </w:rPr>
      </w:pPr>
      <w:r>
        <w:rPr>
          <w:rFonts w:hint="eastAsia" w:ascii="宋体" w:hAnsi="宋体" w:eastAsia="宋体" w:cs="宋体"/>
          <w:sz w:val="24"/>
          <w:szCs w:val="24"/>
          <w:lang w:val="en-US" w:eastAsia="zh-CN"/>
        </w:rPr>
        <w:t>十一</w:t>
      </w:r>
      <w:r>
        <w:rPr>
          <w:rFonts w:hint="eastAsia" w:ascii="宋体" w:hAnsi="宋体" w:eastAsia="宋体" w:cs="宋体"/>
          <w:sz w:val="24"/>
          <w:szCs w:val="24"/>
        </w:rPr>
        <w:t>、</w:t>
      </w:r>
      <w:bookmarkStart w:id="117" w:name="_Toc194315998"/>
      <w:bookmarkStart w:id="118" w:name="_Toc194312924"/>
      <w:bookmarkStart w:id="119" w:name="_Toc194719625"/>
      <w:bookmarkStart w:id="120" w:name="_Toc194316617"/>
      <w:bookmarkStart w:id="121" w:name="_Toc194312207"/>
      <w:bookmarkStart w:id="122" w:name="_Toc194373711"/>
      <w:bookmarkStart w:id="123" w:name="_Toc275166507"/>
      <w:bookmarkStart w:id="124" w:name="_Toc194314220"/>
      <w:bookmarkStart w:id="125" w:name="_Toc194313613"/>
      <w:r>
        <w:rPr>
          <w:rFonts w:hint="eastAsia" w:ascii="宋体" w:hAnsi="宋体" w:eastAsia="宋体" w:cs="宋体"/>
          <w:sz w:val="24"/>
          <w:szCs w:val="24"/>
        </w:rPr>
        <w:t>验收与移交</w:t>
      </w:r>
      <w:bookmarkEnd w:id="117"/>
      <w:bookmarkEnd w:id="118"/>
      <w:bookmarkEnd w:id="119"/>
      <w:bookmarkEnd w:id="120"/>
      <w:bookmarkEnd w:id="121"/>
      <w:bookmarkEnd w:id="122"/>
      <w:bookmarkEnd w:id="123"/>
      <w:bookmarkEnd w:id="124"/>
      <w:bookmarkEnd w:id="125"/>
    </w:p>
    <w:p w14:paraId="5720DD91">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1、本合同工程的验收应按照合同约定、国家规定的通用“质量标准”以及国家或行业最新相关技术要求和施工验收标准、规范及规程执行。</w:t>
      </w:r>
    </w:p>
    <w:p w14:paraId="4022BC7F">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2、对于大范围施工的分项工程，乙方在施工前应按约定的质量标准及甲方的要求先施工样板,样板经甲方验收合格后,乙方应严格按样板施工( 按照样板的工艺、做法等 )，验收合格的样板作为该分项工程质量验收合格的实物标准。</w:t>
      </w:r>
    </w:p>
    <w:p w14:paraId="3DB6ECAF">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3、施工过程中，工程具备隐蔽条件的，乙方应在隐蔽验收前48小时以书面形式通知工程师验收，通知应包括隐蔽验收的内容、验收时间和地点。乙方应负责准备验收记录，验收合格的，工程师在验收记录上签字，乙方可进行隐蔽和继续施工。验收不合格的，乙方在工程师限定的时间内整改后重新申请验收。</w:t>
      </w:r>
    </w:p>
    <w:p w14:paraId="1863C118">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4、经工程师验收，工程质量符合标准、规范和设计图纸等要求，工程师验在验收记录上签字，乙方可进行隐蔽或继续施工。</w:t>
      </w:r>
    </w:p>
    <w:p w14:paraId="761074D3">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5、无论工程师是否已进行验收，当其要求对已经隐蔽的工程重新检验时，乙方应按要求进行剥离或开孔，并在检验后重新覆盖或修复。检验合格的，甲方承担由此发生的全部费用，并相应顺延工期；检验不合格或乙方未通知工程师进行隐蔽验收的，乙方承担重新检验、覆盖或修复发生的全部费用，工期不予顺延。</w:t>
      </w:r>
    </w:p>
    <w:p w14:paraId="21210C49">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6、乙方承包工程的施工质量经竣工验收被评定为合格的，甲方应在3天内向乙方出具工程竣工验收合格证明文件，工程竣工验收合格证明文件上所注明的验收日期为实际竣工日期；乙方承包工程的施工质量被评定为不合格的，乙方必须在甲方限定期限内进行整改，整改完毕后，乙方应重新申请验收，重新验收合格的，以最后验收合格之日为工程实际竣工日期。</w:t>
      </w:r>
    </w:p>
    <w:p w14:paraId="6CF84C43">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7、对于必须报政府指定机构或其它特定机构验收的工程，则工程通过政府指定机构或其它特定机构验收并取得验收合格证明文件的日期为竣工日期。如合同约定此类报验工作由乙方负责完成，则此种报验工作无论因何种原因造成的延误，乙方均应向甲方承担违约责任。</w:t>
      </w:r>
    </w:p>
    <w:p w14:paraId="2F74A2FD">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8、如因乙方工程质量缺陷造成甲方或第三方损失，则即使工程经甲方、政府指定机构或其它特定机构验收被评定为合格，乙方仍应对甲方或第三方承担经济赔偿责任。</w:t>
      </w:r>
    </w:p>
    <w:p w14:paraId="12782BFD">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9、工程竣工验收前3天，乙方应对现场清理完毕，不得在现场残留杂物、污渍。乙方违反前述要求的，甲方有权另行委托第三方进行清洁，所发生的费用由乙方承担。</w:t>
      </w:r>
    </w:p>
    <w:p w14:paraId="23C0A1F6">
      <w:pPr>
        <w:spacing w:line="420" w:lineRule="exact"/>
        <w:ind w:firstLine="480" w:firstLineChars="200"/>
        <w:rPr>
          <w:rFonts w:ascii="宋体" w:hAnsi="宋体" w:eastAsia="宋体" w:cs="宋体"/>
          <w:sz w:val="24"/>
        </w:rPr>
      </w:pPr>
      <w:r>
        <w:rPr>
          <w:rFonts w:hint="eastAsia" w:ascii="宋体" w:hAnsi="宋体" w:eastAsia="宋体" w:cs="宋体"/>
          <w:bCs/>
          <w:kern w:val="0"/>
          <w:sz w:val="24"/>
          <w:lang w:bidi="ar"/>
        </w:rPr>
        <w:t>10、工程施工完毕，乙方经自检认为整个工程的质量符合合同约定，</w:t>
      </w:r>
      <w:r>
        <w:rPr>
          <w:rFonts w:hint="eastAsia" w:ascii="宋体" w:hAnsi="宋体" w:eastAsia="宋体" w:cs="宋体"/>
          <w:sz w:val="24"/>
        </w:rPr>
        <w:t>具备竣工验收条件后，向甲方递交书面的工程竣工验收申请。</w:t>
      </w:r>
      <w:r>
        <w:rPr>
          <w:rFonts w:hint="eastAsia" w:ascii="宋体" w:hAnsi="宋体" w:eastAsia="宋体" w:cs="宋体"/>
          <w:bCs/>
          <w:kern w:val="0"/>
          <w:sz w:val="24"/>
          <w:lang w:bidi="ar"/>
        </w:rPr>
        <w:t>甲方收到申请后及时组织有关部门进行验收，并在5天内给予认可或提出整改意见。乙方须按甲方要求整改，并承担自身原因造成的整改费用。</w:t>
      </w:r>
    </w:p>
    <w:p w14:paraId="136C96F9">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11、工程竣工后或甲方通知乙方解除合同后3天内（主体工程20天内），乙方必须将其在现场的临时生产和生活设施全部拆除完毕，并且将全部人员、机械和其它物品撤离现场。如果乙方拒绝退场，甲方在公证机关对现场进行公证后，有权将乙方在现场的材料、施工工具、器械等物品搬离现场，乙方无权阻挠或进行抗辩。如乙方未能在此期限内撤离现场的，须向甲方支付违约金。</w:t>
      </w:r>
    </w:p>
    <w:p w14:paraId="7E059789">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12、乙方应于工程竣工之日向甲方办理工程移交手续，乙方未移交的，甲方有权自行接管工程，乙方不得阻碍。</w:t>
      </w:r>
    </w:p>
    <w:p w14:paraId="0EA516EA">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13、工程竣工或甲方通知乙方解除合同后，乙方不得设置障碍，阻碍其他施工单位进场。否则，乙方须向甲方支付违约金。</w:t>
      </w:r>
    </w:p>
    <w:p w14:paraId="6868112C">
      <w:pPr>
        <w:pStyle w:val="3"/>
        <w:spacing w:before="0" w:after="0" w:line="420" w:lineRule="exact"/>
        <w:ind w:firstLine="482" w:firstLineChars="200"/>
        <w:rPr>
          <w:rFonts w:ascii="宋体" w:hAnsi="宋体" w:eastAsia="宋体" w:cs="宋体"/>
          <w:sz w:val="24"/>
          <w:szCs w:val="24"/>
        </w:rPr>
      </w:pPr>
      <w:r>
        <w:rPr>
          <w:rFonts w:hint="eastAsia" w:ascii="宋体" w:hAnsi="宋体" w:eastAsia="宋体" w:cs="宋体"/>
          <w:sz w:val="24"/>
          <w:szCs w:val="24"/>
          <w:lang w:val="en-US" w:eastAsia="zh-CN"/>
        </w:rPr>
        <w:t>十二</w:t>
      </w:r>
      <w:r>
        <w:rPr>
          <w:rFonts w:hint="eastAsia" w:ascii="宋体" w:hAnsi="宋体" w:eastAsia="宋体" w:cs="宋体"/>
          <w:sz w:val="24"/>
          <w:szCs w:val="24"/>
        </w:rPr>
        <w:t xml:space="preserve">、质量保修 </w:t>
      </w:r>
    </w:p>
    <w:p w14:paraId="254ADEC7">
      <w:pPr>
        <w:spacing w:line="420" w:lineRule="exact"/>
        <w:ind w:firstLine="480" w:firstLineChars="200"/>
        <w:rPr>
          <w:rFonts w:ascii="宋体" w:hAnsi="宋体" w:eastAsia="宋体" w:cs="宋体"/>
          <w:sz w:val="24"/>
        </w:rPr>
      </w:pPr>
      <w:r>
        <w:rPr>
          <w:rFonts w:hint="eastAsia" w:ascii="宋体" w:hAnsi="宋体" w:eastAsia="宋体" w:cs="宋体"/>
          <w:sz w:val="24"/>
        </w:rPr>
        <w:t>1、保修期：</w:t>
      </w:r>
      <w:r>
        <w:rPr>
          <w:rFonts w:hint="eastAsia" w:ascii="宋体" w:hAnsi="宋体" w:eastAsia="宋体" w:cs="宋体"/>
          <w:sz w:val="24"/>
          <w:u w:val="single"/>
        </w:rPr>
        <w:t>本合同工程的保修</w:t>
      </w:r>
      <w:r>
        <w:rPr>
          <w:rFonts w:hint="eastAsia" w:ascii="宋体" w:hAnsi="宋体" w:eastAsia="宋体" w:cs="宋体"/>
          <w:sz w:val="24"/>
          <w:u w:val="single"/>
          <w:lang w:val="en-US" w:eastAsia="zh-CN"/>
        </w:rPr>
        <w:t>为</w:t>
      </w:r>
      <w:r>
        <w:rPr>
          <w:rFonts w:hint="eastAsia" w:ascii="宋体" w:hAnsi="宋体" w:cs="宋体"/>
          <w:sz w:val="24"/>
          <w:u w:val="single"/>
          <w:lang w:val="en-US" w:eastAsia="zh-CN"/>
        </w:rPr>
        <w:t>五</w:t>
      </w:r>
      <w:r>
        <w:rPr>
          <w:rFonts w:hint="eastAsia" w:ascii="宋体" w:hAnsi="宋体" w:eastAsia="宋体" w:cs="宋体"/>
          <w:sz w:val="24"/>
          <w:u w:val="single"/>
          <w:lang w:val="en-US" w:eastAsia="zh-CN"/>
        </w:rPr>
        <w:t>年</w:t>
      </w:r>
      <w:r>
        <w:rPr>
          <w:rFonts w:hint="eastAsia" w:ascii="宋体" w:hAnsi="宋体" w:eastAsia="宋体" w:cs="宋体"/>
          <w:sz w:val="24"/>
        </w:rPr>
        <w:t>。</w:t>
      </w:r>
      <w:r>
        <w:rPr>
          <w:rFonts w:hint="eastAsia" w:ascii="宋体" w:hAnsi="宋体" w:eastAsia="宋体" w:cs="宋体"/>
          <w:bCs/>
          <w:kern w:val="0"/>
          <w:sz w:val="24"/>
          <w:lang w:bidi="ar"/>
        </w:rPr>
        <w:t>保修期自竣工验收合格之日起计，在保修期内因施工质量而造成返修，其费用由乙方自行承担。</w:t>
      </w:r>
    </w:p>
    <w:p w14:paraId="1046C797">
      <w:pPr>
        <w:spacing w:line="42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bCs/>
          <w:kern w:val="0"/>
          <w:sz w:val="24"/>
          <w:lang w:bidi="ar"/>
        </w:rPr>
        <w:t>在保修期内，乙方接到甲方通知48小时内不能按时进行维修的，甲方将另行委托第三方进行维修，维修费用由乙方承担，甲方可优先从乙方质保金中扣除维修费用。</w:t>
      </w:r>
    </w:p>
    <w:p w14:paraId="4EEA7649">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三</w:t>
      </w:r>
      <w:r>
        <w:rPr>
          <w:rFonts w:hint="eastAsia" w:ascii="宋体" w:hAnsi="宋体" w:eastAsia="宋体" w:cs="宋体"/>
          <w:b/>
          <w:sz w:val="24"/>
        </w:rPr>
        <w:t>、 违约责任</w:t>
      </w:r>
    </w:p>
    <w:p w14:paraId="5E0D2CDE">
      <w:pPr>
        <w:spacing w:line="420" w:lineRule="exact"/>
        <w:ind w:firstLine="480" w:firstLineChars="200"/>
        <w:rPr>
          <w:rFonts w:ascii="宋体" w:hAnsi="宋体" w:eastAsia="宋体" w:cs="宋体"/>
          <w:sz w:val="24"/>
        </w:rPr>
      </w:pPr>
      <w:r>
        <w:rPr>
          <w:rFonts w:hint="eastAsia" w:ascii="宋体" w:hAnsi="宋体" w:eastAsia="宋体" w:cs="宋体"/>
          <w:sz w:val="24"/>
        </w:rPr>
        <w:t>1、非甲方原因，乙方如未能在合同约定工期内完工，每逾期一天，乙方向甲方支付500元的违约金，此违约金的支付并不能免除乙方应完成工程的责任或本合同规定的其他责任；如乙方无法履行合同或逾期超过一个月的，甲方有权解除合同；甲方解除合同后，乙方已施工的工程项目，乙方同意甲方不验收，不结算，不支付相关费用；因此给甲方造成损失的，乙方应赔偿甲方的一切损失。</w:t>
      </w:r>
    </w:p>
    <w:p w14:paraId="1868A990">
      <w:pPr>
        <w:spacing w:line="420" w:lineRule="exact"/>
        <w:ind w:firstLine="480" w:firstLineChars="200"/>
        <w:rPr>
          <w:rFonts w:ascii="宋体" w:hAnsi="宋体" w:eastAsia="宋体" w:cs="宋体"/>
          <w:sz w:val="24"/>
        </w:rPr>
      </w:pPr>
      <w:r>
        <w:rPr>
          <w:rFonts w:hint="eastAsia" w:ascii="宋体" w:hAnsi="宋体" w:eastAsia="宋体" w:cs="宋体"/>
          <w:sz w:val="24"/>
        </w:rPr>
        <w:t>2、若因乙方的工程质量不合格造成甲方或第三方人身、财产损失的，均由乙方承担赔偿责任，与甲方无关，由此导致甲方遭受损失或索赔的，甲方有权向乙方追偿，因追偿产生的费用（包括但不限于：律师费、诉讼费、差旅费、保全费、公告费、鉴定费、执行费、拍卖费等），均由乙方承担。</w:t>
      </w:r>
    </w:p>
    <w:p w14:paraId="104C4942">
      <w:pPr>
        <w:spacing w:line="420" w:lineRule="exact"/>
        <w:ind w:firstLine="480" w:firstLineChars="200"/>
        <w:rPr>
          <w:rFonts w:ascii="宋体" w:hAnsi="宋体" w:eastAsia="宋体" w:cs="宋体"/>
          <w:sz w:val="24"/>
        </w:rPr>
      </w:pPr>
      <w:r>
        <w:rPr>
          <w:rFonts w:hint="eastAsia" w:ascii="宋体" w:hAnsi="宋体" w:eastAsia="宋体" w:cs="宋体"/>
          <w:sz w:val="24"/>
        </w:rPr>
        <w:t>3、乙方保证按当地建设行政主管部门规定，及时支付农民工工资，否则，由此给甲方造成不良影响或损失时，由乙方承担全部责任。乙方拖欠工人工资或材料供应商材料款的，导致工人或材料供应商向有关部门投诉、控告、检举或以聚集的方式讨要工资或报酬、围堵甲方场所的（依据甲方出具的材料、影像或邮件等资料为准），每发生一次，乙方须向甲方支付违约金5万元（乙方同意甲方从本工程结算款中扣除）。</w:t>
      </w:r>
    </w:p>
    <w:p w14:paraId="29C67588">
      <w:pPr>
        <w:spacing w:line="420" w:lineRule="exact"/>
        <w:ind w:firstLine="480" w:firstLineChars="200"/>
        <w:rPr>
          <w:rFonts w:ascii="宋体" w:hAnsi="宋体" w:eastAsia="宋体" w:cs="宋体"/>
          <w:sz w:val="24"/>
        </w:rPr>
      </w:pPr>
      <w:r>
        <w:rPr>
          <w:rFonts w:hint="eastAsia" w:ascii="宋体" w:hAnsi="宋体" w:eastAsia="宋体" w:cs="宋体"/>
          <w:sz w:val="24"/>
        </w:rPr>
        <w:t>4、如乙方未按照本合同约定内容履行合同义务或无故单方面解除合同，均视为违约，乙方应向甲方支付合同总价的30%作为违约金，因此给甲方造成损失，乙方应赔偿甲方的一切损失。</w:t>
      </w:r>
    </w:p>
    <w:p w14:paraId="5D1A799D">
      <w:pPr>
        <w:pStyle w:val="4"/>
        <w:spacing w:line="420" w:lineRule="exact"/>
        <w:ind w:firstLine="480" w:firstLineChars="200"/>
        <w:rPr>
          <w:rFonts w:ascii="宋体" w:hAnsi="宋体" w:eastAsia="宋体" w:cs="宋体"/>
          <w:sz w:val="24"/>
        </w:rPr>
      </w:pPr>
      <w:r>
        <w:rPr>
          <w:rFonts w:hint="eastAsia" w:ascii="宋体" w:hAnsi="宋体" w:eastAsia="宋体" w:cs="宋体"/>
          <w:sz w:val="24"/>
        </w:rPr>
        <w:t>5、乙方施工完成后，甲方投入使用期间，出现任何工程质量问题，乙方应无条件免费维修，并承担相关费用；同时乙方同意甲方不再支付本合同剩余的质保金和工程款，因此给甲方造成损失的，乙方应赔偿甲方的一切损失。</w:t>
      </w:r>
    </w:p>
    <w:p w14:paraId="75B5B8BA">
      <w:pPr>
        <w:pStyle w:val="4"/>
        <w:spacing w:line="420" w:lineRule="exact"/>
        <w:ind w:firstLine="480" w:firstLineChars="200"/>
        <w:rPr>
          <w:rFonts w:ascii="宋体" w:hAnsi="宋体" w:eastAsia="宋体" w:cs="宋体"/>
          <w:sz w:val="24"/>
        </w:rPr>
      </w:pPr>
      <w:r>
        <w:rPr>
          <w:rFonts w:hint="eastAsia" w:ascii="宋体" w:hAnsi="宋体" w:eastAsia="宋体" w:cs="宋体"/>
          <w:sz w:val="24"/>
        </w:rPr>
        <w:t>6、乙方在施工过程中，造成甲方设施设备损毁、灭失的，乙方承担赔偿责任，因此给甲方造成损失的，乙方应赔偿甲方的一切损失。</w:t>
      </w:r>
    </w:p>
    <w:p w14:paraId="06DA629A">
      <w:pPr>
        <w:pStyle w:val="4"/>
        <w:spacing w:line="420" w:lineRule="exact"/>
        <w:ind w:firstLine="480" w:firstLineChars="200"/>
        <w:rPr>
          <w:rFonts w:ascii="宋体" w:hAnsi="宋体" w:eastAsia="宋体" w:cs="宋体"/>
          <w:sz w:val="24"/>
        </w:rPr>
      </w:pPr>
      <w:r>
        <w:rPr>
          <w:rFonts w:hint="eastAsia" w:ascii="宋体" w:hAnsi="宋体" w:eastAsia="宋体" w:cs="宋体"/>
          <w:sz w:val="24"/>
        </w:rPr>
        <w:t>7、乙方不开具合格发票，应向甲方支付应开票金额的30%作为违约金。</w:t>
      </w:r>
    </w:p>
    <w:p w14:paraId="6EF5AC26">
      <w:pPr>
        <w:pStyle w:val="4"/>
        <w:spacing w:line="420" w:lineRule="exact"/>
        <w:ind w:firstLine="480" w:firstLineChars="200"/>
        <w:rPr>
          <w:rFonts w:ascii="宋体" w:hAnsi="宋体" w:eastAsia="宋体" w:cs="宋体"/>
          <w:sz w:val="24"/>
        </w:rPr>
      </w:pPr>
      <w:r>
        <w:rPr>
          <w:rFonts w:hint="eastAsia" w:ascii="宋体" w:hAnsi="宋体" w:eastAsia="宋体" w:cs="宋体"/>
          <w:sz w:val="24"/>
        </w:rPr>
        <w:t>8、未经甲方同意，乙方不得将项目分包、转包给第三方，否则视为违约，乙方应向甲方支付合同总价的30%作为违约金，因此给甲方造成损失的，乙方应赔偿甲方的一切损失。</w:t>
      </w:r>
    </w:p>
    <w:p w14:paraId="31CF389A">
      <w:pPr>
        <w:spacing w:line="420" w:lineRule="exact"/>
        <w:ind w:firstLine="480" w:firstLineChars="200"/>
        <w:rPr>
          <w:rFonts w:ascii="宋体" w:hAnsi="宋体" w:eastAsia="宋体" w:cs="宋体"/>
          <w:sz w:val="24"/>
        </w:rPr>
      </w:pPr>
      <w:r>
        <w:rPr>
          <w:rFonts w:hint="eastAsia" w:ascii="宋体" w:hAnsi="宋体" w:eastAsia="宋体" w:cs="宋体"/>
          <w:sz w:val="24"/>
        </w:rPr>
        <w:t>9、上述违约金和赔偿金，甲方有权从乙方工程款中直接扣除。</w:t>
      </w:r>
    </w:p>
    <w:p w14:paraId="35712474">
      <w:pPr>
        <w:spacing w:line="420" w:lineRule="exact"/>
        <w:ind w:firstLine="480" w:firstLineChars="200"/>
        <w:rPr>
          <w:rFonts w:ascii="宋体" w:hAnsi="宋体" w:cs="宋体"/>
          <w:b/>
          <w:bCs/>
          <w:sz w:val="44"/>
          <w:szCs w:val="44"/>
        </w:rPr>
      </w:pPr>
      <w:r>
        <w:rPr>
          <w:rFonts w:hint="eastAsia" w:ascii="宋体" w:hAnsi="宋体" w:eastAsia="宋体" w:cs="宋体"/>
          <w:sz w:val="24"/>
        </w:rPr>
        <w:t>10、以上违约责任及处罚的认定依据以甲方出具的材料、影像（含照片）或邮件等资料为准。</w:t>
      </w:r>
    </w:p>
    <w:p w14:paraId="4209B198">
      <w:pPr>
        <w:adjustRightInd w:val="0"/>
        <w:snapToGrid w:val="0"/>
        <w:spacing w:line="420" w:lineRule="exact"/>
        <w:ind w:firstLine="482" w:firstLineChars="200"/>
        <w:rPr>
          <w:rFonts w:ascii="宋体" w:hAnsi="宋体" w:eastAsia="宋体" w:cs="宋体"/>
          <w:b/>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w:t>
      </w:r>
      <w:r>
        <w:rPr>
          <w:rFonts w:hint="eastAsia" w:ascii="宋体" w:hAnsi="宋体" w:eastAsia="宋体" w:cs="宋体"/>
          <w:b/>
          <w:sz w:val="24"/>
        </w:rPr>
        <w:t>廉洁条款</w:t>
      </w:r>
    </w:p>
    <w:p w14:paraId="5E1649F8">
      <w:pPr>
        <w:adjustRightInd w:val="0"/>
        <w:spacing w:line="420" w:lineRule="exact"/>
        <w:ind w:firstLine="480" w:firstLineChars="200"/>
        <w:rPr>
          <w:rFonts w:ascii="宋体" w:hAnsi="宋体" w:eastAsia="宋体" w:cs="宋体"/>
          <w:sz w:val="24"/>
        </w:rPr>
      </w:pPr>
      <w:r>
        <w:rPr>
          <w:rFonts w:hint="eastAsia" w:ascii="宋体" w:hAnsi="宋体" w:eastAsia="宋体" w:cs="宋体"/>
          <w:sz w:val="24"/>
        </w:rPr>
        <w:t>1、严禁甲方人员以任何方式明、暗示乙方请吃、请喝、收受乙方礼金、礼品或接受乙方提供的其他私人便利或利益。</w:t>
      </w:r>
    </w:p>
    <w:p w14:paraId="1C055F66">
      <w:pPr>
        <w:adjustRightInd w:val="0"/>
        <w:spacing w:line="420" w:lineRule="exact"/>
        <w:ind w:firstLine="480" w:firstLineChars="200"/>
        <w:rPr>
          <w:rFonts w:ascii="宋体" w:hAnsi="宋体" w:eastAsia="宋体" w:cs="宋体"/>
          <w:sz w:val="24"/>
          <w:lang w:val="zh-CN"/>
        </w:rPr>
      </w:pPr>
      <w:r>
        <w:rPr>
          <w:rFonts w:hint="eastAsia" w:ascii="宋体" w:hAnsi="宋体" w:eastAsia="宋体" w:cs="宋体"/>
          <w:sz w:val="24"/>
        </w:rPr>
        <w:t>2、严禁乙方以任何方式向甲方人员提供私人便利、行贿或进行非正常商务宴请。</w:t>
      </w:r>
    </w:p>
    <w:p w14:paraId="15220D86">
      <w:pPr>
        <w:adjustRightInd w:val="0"/>
        <w:spacing w:line="420" w:lineRule="exact"/>
        <w:ind w:firstLine="480" w:firstLineChars="200"/>
        <w:rPr>
          <w:rFonts w:ascii="宋体" w:hAnsi="宋体" w:eastAsia="宋体" w:cs="宋体"/>
          <w:sz w:val="24"/>
        </w:rPr>
      </w:pPr>
      <w:r>
        <w:rPr>
          <w:rFonts w:hint="eastAsia" w:ascii="宋体" w:hAnsi="宋体" w:eastAsia="宋体" w:cs="宋体"/>
          <w:sz w:val="24"/>
        </w:rPr>
        <w:t>3、如果出现乙方在履约过程中进行私下请吃、向甲方人员提供私人便利、行贿等非正常的经济活动，一经查实，甲方有权单方面终止合同，且乙方须承担由此导致的一切后果，甲乙双方此前签署的关于顺延工期等签证均告无效，行为严重者，甲方保留追究法律责任的权利；如果乙方事后主动积极向甲方陈述事实，或有证据显示以上行为为甲方人员或甲方委托相关公司施压的不得已行为,甲方尚未单方解除合同的,则乙方仍保留合同的权利和义务。</w:t>
      </w:r>
    </w:p>
    <w:p w14:paraId="64B6A289">
      <w:pPr>
        <w:spacing w:line="420" w:lineRule="exact"/>
        <w:ind w:firstLine="482" w:firstLineChars="200"/>
        <w:rPr>
          <w:rFonts w:ascii="宋体" w:hAnsi="宋体" w:eastAsia="宋体" w:cs="宋体"/>
          <w:b/>
          <w:sz w:val="24"/>
        </w:rPr>
      </w:pPr>
      <w:bookmarkStart w:id="126" w:name="_Toc275166596"/>
      <w:bookmarkStart w:id="127" w:name="_Toc162276479"/>
      <w:bookmarkStart w:id="128" w:name="_Toc149528815"/>
      <w:bookmarkStart w:id="129" w:name="_Toc138583765"/>
      <w:bookmarkStart w:id="130" w:name="_Toc274500627"/>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w:t>
      </w:r>
      <w:r>
        <w:rPr>
          <w:rFonts w:hint="eastAsia" w:ascii="宋体" w:hAnsi="宋体" w:eastAsia="宋体" w:cs="宋体"/>
          <w:b/>
          <w:sz w:val="24"/>
        </w:rPr>
        <w:t>其它约定</w:t>
      </w:r>
      <w:bookmarkEnd w:id="126"/>
      <w:bookmarkEnd w:id="127"/>
      <w:bookmarkEnd w:id="128"/>
      <w:bookmarkEnd w:id="129"/>
      <w:bookmarkEnd w:id="130"/>
    </w:p>
    <w:p w14:paraId="287754E9">
      <w:pPr>
        <w:spacing w:line="420" w:lineRule="exact"/>
        <w:ind w:firstLine="480" w:firstLineChars="200"/>
        <w:rPr>
          <w:rFonts w:ascii="宋体" w:hAnsi="宋体" w:cs="宋体"/>
          <w:sz w:val="24"/>
        </w:rPr>
      </w:pPr>
      <w:r>
        <w:rPr>
          <w:rFonts w:hint="eastAsia" w:ascii="宋体" w:hAnsi="宋体" w:cs="宋体"/>
          <w:sz w:val="24"/>
        </w:rPr>
        <w:t>1、本合同全部工程竣工验收合格之日起30个日历天内，乙方须向甲方提供符合国家档案部门和甲方要求的、编制成册的全部工程竣工图和竣工资料一式四份，甲方收到竣工资料之日起20个日历天内对竣工资料书面提出审核意见，乙方收到甲方审核意见之日起15个日历天内对竣工资料进行补充完善。</w:t>
      </w:r>
    </w:p>
    <w:p w14:paraId="1A593B95">
      <w:pPr>
        <w:spacing w:line="420" w:lineRule="exact"/>
        <w:ind w:firstLine="480" w:firstLineChars="200"/>
        <w:rPr>
          <w:rFonts w:ascii="宋体" w:hAnsi="宋体" w:eastAsia="宋体" w:cs="宋体"/>
          <w:sz w:val="24"/>
        </w:rPr>
      </w:pPr>
      <w:r>
        <w:rPr>
          <w:rFonts w:hint="eastAsia" w:ascii="宋体" w:hAnsi="宋体" w:eastAsia="宋体" w:cs="宋体"/>
          <w:sz w:val="24"/>
        </w:rPr>
        <w:t>2、乙方在施工过程中应例行节约、合理利用甲供材料，做好文明施工，杜绝材料浪费。废品废料须及时回收，按甲方要求统一堆放，保持施工场地的整洁。</w:t>
      </w:r>
    </w:p>
    <w:p w14:paraId="0663008B">
      <w:pPr>
        <w:spacing w:line="420" w:lineRule="exact"/>
        <w:ind w:firstLine="480" w:firstLineChars="200"/>
        <w:rPr>
          <w:rFonts w:ascii="宋体" w:hAnsi="宋体" w:eastAsia="宋体" w:cs="宋体"/>
          <w:sz w:val="24"/>
        </w:rPr>
      </w:pPr>
      <w:r>
        <w:rPr>
          <w:rFonts w:hint="eastAsia" w:ascii="宋体" w:hAnsi="宋体" w:eastAsia="宋体" w:cs="宋体"/>
          <w:sz w:val="24"/>
        </w:rPr>
        <w:t>3、已完工工程未交付甲方之前，乙方负责已完工程的保护工作。保护期间如发生损坏，乙方自费予以修复。</w:t>
      </w:r>
    </w:p>
    <w:p w14:paraId="1A6D4185">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六</w:t>
      </w:r>
      <w:r>
        <w:rPr>
          <w:rFonts w:hint="eastAsia" w:ascii="宋体" w:hAnsi="宋体" w:eastAsia="宋体" w:cs="宋体"/>
          <w:b/>
          <w:sz w:val="24"/>
        </w:rPr>
        <w:t>、合同的生效</w:t>
      </w:r>
    </w:p>
    <w:p w14:paraId="54BE32A9">
      <w:pPr>
        <w:spacing w:line="420" w:lineRule="exact"/>
        <w:ind w:firstLine="480" w:firstLineChars="200"/>
        <w:rPr>
          <w:rFonts w:ascii="宋体" w:hAnsi="宋体" w:eastAsia="宋体" w:cs="宋体"/>
          <w:sz w:val="24"/>
        </w:rPr>
      </w:pPr>
      <w:r>
        <w:rPr>
          <w:rFonts w:hint="eastAsia" w:ascii="宋体" w:hAnsi="宋体" w:eastAsia="宋体" w:cs="宋体"/>
          <w:sz w:val="24"/>
        </w:rPr>
        <w:t>本合同经甲、乙双方盖章后生效。</w:t>
      </w:r>
    </w:p>
    <w:p w14:paraId="29FF464C">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七</w:t>
      </w:r>
      <w:r>
        <w:rPr>
          <w:rFonts w:hint="eastAsia" w:ascii="宋体" w:hAnsi="宋体" w:eastAsia="宋体" w:cs="宋体"/>
          <w:b/>
          <w:sz w:val="24"/>
        </w:rPr>
        <w:t>、合同争议解决方式</w:t>
      </w:r>
    </w:p>
    <w:p w14:paraId="34D63913">
      <w:pPr>
        <w:spacing w:line="420" w:lineRule="exact"/>
        <w:ind w:firstLine="480" w:firstLineChars="200"/>
        <w:rPr>
          <w:rFonts w:ascii="宋体" w:hAnsi="宋体" w:eastAsia="宋体" w:cs="宋体"/>
          <w:sz w:val="24"/>
        </w:rPr>
      </w:pPr>
      <w:r>
        <w:rPr>
          <w:rFonts w:hint="eastAsia" w:ascii="宋体" w:hAnsi="宋体" w:eastAsia="宋体" w:cs="宋体"/>
          <w:sz w:val="24"/>
        </w:rPr>
        <w:t>1、本合同在履行中发生争议的，合同双方应本着友好、协作的态度进行协商；协商不成的，可以提起诉讼，双方同意由宝丰县人民法院管辖。</w:t>
      </w:r>
    </w:p>
    <w:p w14:paraId="46F4441B">
      <w:pPr>
        <w:spacing w:line="420" w:lineRule="exact"/>
        <w:ind w:firstLine="480" w:firstLineChars="200"/>
        <w:rPr>
          <w:rFonts w:ascii="宋体" w:hAnsi="宋体" w:eastAsia="宋体" w:cs="宋体"/>
          <w:sz w:val="24"/>
        </w:rPr>
      </w:pPr>
      <w:r>
        <w:rPr>
          <w:rFonts w:hint="eastAsia" w:ascii="宋体" w:hAnsi="宋体" w:eastAsia="宋体" w:cs="宋体"/>
          <w:sz w:val="24"/>
        </w:rPr>
        <w:t>2、本合同关于争议解决方式的约定具有最高的效力，双方以后发生的补充合同、会议纪要、来往函件、发料单、结算单等涉及到争议解决方式的，均不得对抗此约定。</w:t>
      </w:r>
    </w:p>
    <w:p w14:paraId="52159DC9">
      <w:pPr>
        <w:spacing w:line="420" w:lineRule="exact"/>
        <w:ind w:firstLine="480" w:firstLineChars="200"/>
        <w:rPr>
          <w:rFonts w:ascii="宋体" w:hAnsi="宋体" w:eastAsia="宋体" w:cs="宋体"/>
          <w:sz w:val="24"/>
        </w:rPr>
      </w:pPr>
      <w:r>
        <w:rPr>
          <w:rFonts w:hint="eastAsia" w:ascii="宋体" w:hAnsi="宋体" w:eastAsia="宋体" w:cs="宋体"/>
          <w:sz w:val="24"/>
        </w:rPr>
        <w:t>3、本合同争议解决条款独立存在，本合同的变更、解除、终止或者无效，不影响本条款的效力。</w:t>
      </w:r>
    </w:p>
    <w:p w14:paraId="5143AE22">
      <w:pPr>
        <w:spacing w:line="420" w:lineRule="exact"/>
        <w:ind w:firstLine="480" w:firstLineChars="200"/>
        <w:rPr>
          <w:rFonts w:ascii="宋体" w:hAnsi="宋体" w:eastAsia="宋体" w:cs="宋体"/>
          <w:sz w:val="24"/>
        </w:rPr>
      </w:pPr>
      <w:r>
        <w:rPr>
          <w:rFonts w:hint="eastAsia" w:ascii="宋体" w:hAnsi="宋体" w:eastAsia="宋体" w:cs="宋体"/>
          <w:sz w:val="24"/>
        </w:rPr>
        <w:t>4、双方均认真阅读了上述解决争议的方式并完全理解其内容，同意遵照执行。</w:t>
      </w:r>
    </w:p>
    <w:p w14:paraId="2B4B8132">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八</w:t>
      </w:r>
      <w:r>
        <w:rPr>
          <w:rFonts w:hint="eastAsia" w:ascii="宋体" w:hAnsi="宋体" w:eastAsia="宋体" w:cs="宋体"/>
          <w:b/>
          <w:sz w:val="24"/>
        </w:rPr>
        <w:t>、其他</w:t>
      </w:r>
    </w:p>
    <w:p w14:paraId="28DF6782">
      <w:pPr>
        <w:spacing w:line="420" w:lineRule="exact"/>
        <w:ind w:firstLine="480" w:firstLineChars="200"/>
        <w:rPr>
          <w:rFonts w:ascii="宋体" w:hAnsi="宋体" w:eastAsia="宋体" w:cs="宋体"/>
          <w:kern w:val="0"/>
          <w:sz w:val="24"/>
        </w:rPr>
      </w:pPr>
      <w:r>
        <w:rPr>
          <w:rFonts w:hint="eastAsia" w:ascii="宋体" w:hAnsi="宋体" w:eastAsia="宋体" w:cs="宋体"/>
          <w:kern w:val="0"/>
          <w:sz w:val="24"/>
        </w:rPr>
        <w:t>1、 本合同未尽事宜，双方另行协商并签订补充协议, 补充协议和本合同效力一致。</w:t>
      </w:r>
    </w:p>
    <w:p w14:paraId="67BE6EE0">
      <w:pPr>
        <w:spacing w:line="420" w:lineRule="exact"/>
        <w:ind w:firstLine="480" w:firstLineChars="200"/>
        <w:rPr>
          <w:rFonts w:ascii="宋体" w:hAnsi="宋体" w:eastAsia="宋体" w:cs="宋体"/>
          <w:kern w:val="0"/>
          <w:sz w:val="24"/>
        </w:rPr>
      </w:pPr>
      <w:r>
        <w:rPr>
          <w:rFonts w:hint="eastAsia" w:ascii="宋体" w:hAnsi="宋体" w:eastAsia="宋体" w:cs="宋体"/>
          <w:kern w:val="0"/>
          <w:sz w:val="24"/>
        </w:rPr>
        <w:t>2、 本合同一式肆份，甲方持叁份，乙方持壹份，具有同等法律效力。</w:t>
      </w:r>
    </w:p>
    <w:p w14:paraId="489577B1">
      <w:pPr>
        <w:spacing w:line="4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lang w:val="en-US" w:eastAsia="zh-CN"/>
        </w:rPr>
        <w:t xml:space="preserve"> </w:t>
      </w:r>
      <w:r>
        <w:rPr>
          <w:rFonts w:hint="eastAsia" w:ascii="宋体" w:hAnsi="宋体" w:eastAsia="宋体" w:cs="宋体"/>
          <w:kern w:val="0"/>
          <w:sz w:val="24"/>
        </w:rPr>
        <w:t>合同附件为本合同有效组成部分，与本合同具有同等法律效力。</w:t>
      </w:r>
    </w:p>
    <w:p w14:paraId="0F1BE35D">
      <w:pPr>
        <w:spacing w:line="420" w:lineRule="exact"/>
        <w:ind w:firstLine="480" w:firstLineChars="200"/>
        <w:rPr>
          <w:rFonts w:ascii="宋体" w:hAnsi="宋体" w:eastAsia="宋体" w:cs="宋体"/>
          <w:kern w:val="0"/>
          <w:sz w:val="24"/>
        </w:rPr>
      </w:pPr>
      <w:r>
        <w:rPr>
          <w:rFonts w:hint="eastAsia" w:ascii="宋体" w:hAnsi="宋体" w:eastAsia="宋体" w:cs="宋体"/>
          <w:kern w:val="0"/>
          <w:sz w:val="24"/>
        </w:rPr>
        <w:t>（以下为签署部分，无合同正文）</w:t>
      </w:r>
    </w:p>
    <w:p w14:paraId="0F01BE59">
      <w:pPr>
        <w:tabs>
          <w:tab w:val="left" w:pos="6300"/>
        </w:tabs>
        <w:spacing w:line="780" w:lineRule="atLeast"/>
        <w:ind w:firstLine="480" w:firstLineChars="200"/>
        <w:rPr>
          <w:rFonts w:hint="default" w:ascii="宋体" w:hAnsi="宋体" w:eastAsia="宋体" w:cs="宋体"/>
          <w:sz w:val="24"/>
          <w:lang w:val="en-US"/>
        </w:rPr>
      </w:pPr>
      <w:r>
        <w:rPr>
          <w:rFonts w:hint="eastAsia" w:ascii="宋体" w:hAnsi="宋体" w:eastAsia="宋体" w:cs="宋体"/>
          <w:sz w:val="24"/>
        </w:rPr>
        <w:t>甲方：</w:t>
      </w:r>
      <w:r>
        <w:rPr>
          <w:rFonts w:hint="eastAsia" w:ascii="宋体" w:hAnsi="宋体" w:cs="宋体"/>
          <w:sz w:val="24"/>
          <w:lang w:val="en-US" w:eastAsia="zh-CN"/>
        </w:rPr>
        <w:t>宝丰酒业有限公司</w:t>
      </w:r>
      <w:r>
        <w:rPr>
          <w:rFonts w:hint="eastAsia" w:ascii="宋体" w:hAnsi="宋体" w:eastAsia="宋体" w:cs="宋体"/>
          <w:sz w:val="24"/>
        </w:rPr>
        <w:t xml:space="preserve">                            乙方：</w:t>
      </w:r>
      <w:r>
        <w:rPr>
          <w:rFonts w:hint="eastAsia" w:ascii="宋体" w:hAnsi="宋体" w:eastAsia="宋体" w:cs="宋体"/>
          <w:sz w:val="24"/>
          <w:lang w:val="en-US" w:eastAsia="zh-CN"/>
        </w:rPr>
        <w:t xml:space="preserve">              </w:t>
      </w:r>
    </w:p>
    <w:p w14:paraId="66BE2B1B">
      <w:pPr>
        <w:tabs>
          <w:tab w:val="left" w:pos="6300"/>
        </w:tabs>
        <w:spacing w:line="420" w:lineRule="exact"/>
        <w:ind w:firstLine="480" w:firstLineChars="200"/>
        <w:rPr>
          <w:rFonts w:hint="eastAsia" w:ascii="宋体" w:hAnsi="宋体" w:eastAsia="宋体" w:cs="宋体"/>
          <w:sz w:val="24"/>
        </w:rPr>
      </w:pPr>
    </w:p>
    <w:p w14:paraId="3CAFF6CC">
      <w:pPr>
        <w:tabs>
          <w:tab w:val="left" w:pos="6300"/>
        </w:tabs>
        <w:spacing w:line="420" w:lineRule="exact"/>
        <w:ind w:firstLine="480" w:firstLineChars="200"/>
        <w:rPr>
          <w:rFonts w:ascii="宋体" w:hAnsi="宋体" w:eastAsia="宋体" w:cs="宋体"/>
          <w:sz w:val="24"/>
        </w:rPr>
      </w:pPr>
      <w:r>
        <w:rPr>
          <w:rFonts w:hint="eastAsia" w:ascii="宋体" w:hAnsi="宋体" w:eastAsia="宋体" w:cs="宋体"/>
          <w:sz w:val="24"/>
        </w:rPr>
        <w:t>法定代表或</w:t>
      </w:r>
      <w:r>
        <w:rPr>
          <w:rFonts w:hint="eastAsia" w:ascii="宋体" w:hAnsi="宋体" w:cs="宋体"/>
          <w:sz w:val="24"/>
          <w:lang w:val="en-US" w:eastAsia="zh-CN"/>
        </w:rPr>
        <w:t>委托代理人：</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法定代表或委托代理人：               </w:t>
      </w:r>
    </w:p>
    <w:p w14:paraId="369E180B">
      <w:pPr>
        <w:tabs>
          <w:tab w:val="left" w:pos="6300"/>
        </w:tabs>
        <w:spacing w:line="520" w:lineRule="exact"/>
        <w:rPr>
          <w:rFonts w:ascii="宋体" w:hAnsi="宋体" w:eastAsia="宋体" w:cs="宋体"/>
          <w:sz w:val="24"/>
        </w:rPr>
      </w:pPr>
    </w:p>
    <w:p w14:paraId="15EE5D94">
      <w:pPr>
        <w:tabs>
          <w:tab w:val="left" w:pos="6300"/>
        </w:tabs>
        <w:spacing w:line="420" w:lineRule="exact"/>
        <w:ind w:firstLine="480" w:firstLineChars="200"/>
      </w:pPr>
      <w:r>
        <w:rPr>
          <w:rFonts w:hint="eastAsia" w:ascii="宋体" w:hAnsi="宋体" w:eastAsia="宋体" w:cs="宋体"/>
          <w:sz w:val="24"/>
        </w:rPr>
        <w:t xml:space="preserve">2025年 </w:t>
      </w:r>
      <w:r>
        <w:rPr>
          <w:rFonts w:hint="eastAsia" w:ascii="宋体" w:hAnsi="宋体" w:cs="宋体"/>
          <w:sz w:val="24"/>
          <w:lang w:val="en-US" w:eastAsia="zh-CN"/>
        </w:rPr>
        <w:t xml:space="preserve"> </w:t>
      </w:r>
      <w:r>
        <w:rPr>
          <w:rFonts w:hint="eastAsia" w:ascii="宋体" w:hAnsi="宋体" w:eastAsia="宋体" w:cs="宋体"/>
          <w:sz w:val="24"/>
        </w:rPr>
        <w:t xml:space="preserve"> 月 </w:t>
      </w:r>
      <w:r>
        <w:rPr>
          <w:rFonts w:hint="eastAsia" w:ascii="宋体" w:hAnsi="宋体" w:cs="宋体"/>
          <w:sz w:val="24"/>
          <w:lang w:val="en-US" w:eastAsia="zh-CN"/>
        </w:rPr>
        <w:t xml:space="preserve"> </w:t>
      </w:r>
      <w:r>
        <w:rPr>
          <w:rFonts w:hint="eastAsia" w:ascii="宋体" w:hAnsi="宋体" w:eastAsia="宋体" w:cs="宋体"/>
          <w:sz w:val="24"/>
        </w:rPr>
        <w:t xml:space="preserve"> 日            </w:t>
      </w:r>
      <w:r>
        <w:rPr>
          <w:rFonts w:hint="eastAsia" w:ascii="宋体" w:hAnsi="宋体" w:cs="宋体"/>
          <w:sz w:val="24"/>
          <w:lang w:val="en-US" w:eastAsia="zh-CN"/>
        </w:rPr>
        <w:t xml:space="preserve">                </w:t>
      </w:r>
      <w:r>
        <w:rPr>
          <w:rFonts w:hint="eastAsia" w:ascii="宋体" w:hAnsi="宋体" w:eastAsia="宋体" w:cs="宋体"/>
          <w:sz w:val="24"/>
        </w:rPr>
        <w:t xml:space="preserve">      2025年 </w:t>
      </w:r>
      <w:r>
        <w:rPr>
          <w:rFonts w:hint="eastAsia" w:ascii="宋体" w:hAnsi="宋体" w:cs="宋体"/>
          <w:sz w:val="24"/>
          <w:lang w:val="en-US" w:eastAsia="zh-CN"/>
        </w:rPr>
        <w:t xml:space="preserve"> </w:t>
      </w:r>
      <w:r>
        <w:rPr>
          <w:rFonts w:hint="eastAsia" w:ascii="宋体" w:hAnsi="宋体" w:eastAsia="宋体" w:cs="宋体"/>
          <w:sz w:val="24"/>
        </w:rPr>
        <w:t xml:space="preserve"> 月</w:t>
      </w:r>
      <w:r>
        <w:rPr>
          <w:rFonts w:hint="eastAsia" w:ascii="宋体" w:hAnsi="宋体" w:cs="宋体"/>
          <w:sz w:val="24"/>
          <w:lang w:val="en-US" w:eastAsia="zh-CN"/>
        </w:rPr>
        <w:t xml:space="preserve"> </w:t>
      </w:r>
      <w:r>
        <w:rPr>
          <w:rFonts w:hint="eastAsia" w:ascii="宋体" w:hAnsi="宋体" w:eastAsia="宋体" w:cs="宋体"/>
          <w:sz w:val="24"/>
        </w:rPr>
        <w:t xml:space="preserve">  日</w:t>
      </w:r>
    </w:p>
    <w:p w14:paraId="31EB103D">
      <w:pPr>
        <w:ind w:firstLine="480"/>
        <w:rPr>
          <w:rFonts w:hint="default"/>
          <w:lang w:val="en-US" w:eastAsia="zh-CN"/>
        </w:rPr>
      </w:pPr>
    </w:p>
    <w:p w14:paraId="2E1D5B84"/>
    <w:sectPr>
      <w:headerReference r:id="rId6" w:type="first"/>
      <w:footerReference r:id="rId9" w:type="first"/>
      <w:footerReference r:id="rId7" w:type="default"/>
      <w:headerReference r:id="rId5" w:type="even"/>
      <w:footerReference r:id="rId8" w:type="even"/>
      <w:pgSz w:w="11906" w:h="16838"/>
      <w:pgMar w:top="1440" w:right="1080" w:bottom="1440" w:left="1080" w:header="851" w:footer="992" w:gutter="0"/>
      <w:cols w:space="72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3328">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5435"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5435" cy="262890"/>
                      </a:xfrm>
                      <a:prstGeom prst="rect">
                        <a:avLst/>
                      </a:prstGeom>
                      <a:noFill/>
                      <a:ln>
                        <a:noFill/>
                      </a:ln>
                    </wps:spPr>
                    <wps:txbx>
                      <w:txbxContent>
                        <w:p w14:paraId="78021965">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24.05pt;mso-position-horizontal:center;mso-position-horizontal-relative:margin;mso-wrap-style:none;z-index:251659264;mso-width-relative:page;mso-height-relative:page;" filled="f" stroked="f" coordsize="21600,21600" o:gfxdata="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mG03QAAAAAwEAAA8AAAAAAAAAAQAgAAAAIgAAAGRycy9kb3du&#10;cmV2LnhtbFBLAQIUABQAAAAIAIdO4kDLoIhuzgEAAJcDAAAOAAAAAAAAAAEAIAAAAB8BAABkcnMv&#10;ZTJvRG9jLnhtbFBLBQYAAAAABgAGAFkBAABfBQAAAAA=&#10;">
              <v:fill on="f" focussize="0,0"/>
              <v:stroke on="f"/>
              <v:imagedata o:title=""/>
              <o:lock v:ext="edit" aspectratio="f"/>
              <v:textbox inset="0mm,0mm,0mm,0mm" style="mso-fit-shape-to-text:t;">
                <w:txbxContent>
                  <w:p w14:paraId="78021965">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F8A6">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7AB2">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A2BC">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7A5">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7DE7A"/>
    <w:multiLevelType w:val="singleLevel"/>
    <w:tmpl w:val="89E7DE7A"/>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65C2"/>
    <w:rsid w:val="02DA1F3A"/>
    <w:rsid w:val="05665D07"/>
    <w:rsid w:val="05BC001D"/>
    <w:rsid w:val="05D62E8D"/>
    <w:rsid w:val="07360991"/>
    <w:rsid w:val="0C7E602C"/>
    <w:rsid w:val="0E1053AA"/>
    <w:rsid w:val="0EF820C6"/>
    <w:rsid w:val="0F056591"/>
    <w:rsid w:val="106519DD"/>
    <w:rsid w:val="106B4B1A"/>
    <w:rsid w:val="11AF4BBA"/>
    <w:rsid w:val="13C1590B"/>
    <w:rsid w:val="153E27FD"/>
    <w:rsid w:val="184E0FA9"/>
    <w:rsid w:val="19A76BC3"/>
    <w:rsid w:val="19FA13E8"/>
    <w:rsid w:val="1D091942"/>
    <w:rsid w:val="20967991"/>
    <w:rsid w:val="209D2ACD"/>
    <w:rsid w:val="212136FE"/>
    <w:rsid w:val="2177331E"/>
    <w:rsid w:val="2423153B"/>
    <w:rsid w:val="2C1B0D4A"/>
    <w:rsid w:val="2F5527C5"/>
    <w:rsid w:val="31BD2FCF"/>
    <w:rsid w:val="345A2CAD"/>
    <w:rsid w:val="34C5219B"/>
    <w:rsid w:val="366D6646"/>
    <w:rsid w:val="367C515C"/>
    <w:rsid w:val="37971BCD"/>
    <w:rsid w:val="3D223110"/>
    <w:rsid w:val="3E726EF0"/>
    <w:rsid w:val="3EC86B10"/>
    <w:rsid w:val="3F395F35"/>
    <w:rsid w:val="3F955094"/>
    <w:rsid w:val="3FF81676"/>
    <w:rsid w:val="408E5B37"/>
    <w:rsid w:val="41105AF9"/>
    <w:rsid w:val="42442269"/>
    <w:rsid w:val="44625310"/>
    <w:rsid w:val="45611A6C"/>
    <w:rsid w:val="459534C4"/>
    <w:rsid w:val="47DB5B06"/>
    <w:rsid w:val="4B3E5AEC"/>
    <w:rsid w:val="4B4B6AFE"/>
    <w:rsid w:val="4D84279B"/>
    <w:rsid w:val="4DF416CF"/>
    <w:rsid w:val="4E604FB7"/>
    <w:rsid w:val="53AB6CD4"/>
    <w:rsid w:val="53E47AF0"/>
    <w:rsid w:val="5AD20FEA"/>
    <w:rsid w:val="609D5BF6"/>
    <w:rsid w:val="62E278F0"/>
    <w:rsid w:val="63161C90"/>
    <w:rsid w:val="63640C4D"/>
    <w:rsid w:val="64306D81"/>
    <w:rsid w:val="673B741F"/>
    <w:rsid w:val="6A413A96"/>
    <w:rsid w:val="6BEB1F0C"/>
    <w:rsid w:val="6F451933"/>
    <w:rsid w:val="70FC24C5"/>
    <w:rsid w:val="765406AD"/>
    <w:rsid w:val="786372CE"/>
    <w:rsid w:val="788259A6"/>
    <w:rsid w:val="7CE5347F"/>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480" w:lineRule="auto"/>
      <w:jc w:val="center"/>
      <w:outlineLvl w:val="0"/>
    </w:pPr>
    <w:rPr>
      <w:b/>
      <w:kern w:val="44"/>
      <w:sz w:val="36"/>
      <w:szCs w:val="20"/>
    </w:rPr>
  </w:style>
  <w:style w:type="paragraph" w:styleId="3">
    <w:name w:val="heading 2"/>
    <w:basedOn w:val="1"/>
    <w:next w:val="1"/>
    <w:qFormat/>
    <w:uiPriority w:val="0"/>
    <w:pPr>
      <w:keepNext/>
      <w:keepLines/>
      <w:spacing w:before="260" w:beforeLines="0" w:beforeAutospacing="0" w:after="260" w:afterLines="0" w:afterAutospacing="0" w:line="413" w:lineRule="auto"/>
      <w:ind w:firstLine="0" w:firstLineChars="0"/>
      <w:outlineLvl w:val="1"/>
    </w:pPr>
    <w:rPr>
      <w:rFonts w:ascii="Arial" w:hAnsi="Arial"/>
      <w:b/>
      <w:kern w:val="0"/>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0"/>
    <w:rPr>
      <w:rFonts w:hint="eastAsia" w:ascii="黑体" w:hAnsi="华文中宋" w:eastAsia="黑体"/>
      <w:b/>
      <w:bCs/>
      <w:kern w:val="32"/>
      <w:sz w:val="52"/>
    </w:rPr>
  </w:style>
  <w:style w:type="paragraph" w:styleId="6">
    <w:name w:val="Body Text Indent"/>
    <w:basedOn w:val="1"/>
    <w:qFormat/>
    <w:uiPriority w:val="0"/>
    <w:pPr>
      <w:ind w:leftChars="171" w:firstLine="358" w:firstLineChars="149"/>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360" w:lineRule="auto"/>
      <w:jc w:val="center"/>
    </w:pPr>
    <w:rPr>
      <w:sz w:val="18"/>
      <w:szCs w:val="18"/>
    </w:rPr>
  </w:style>
  <w:style w:type="paragraph" w:styleId="9">
    <w:name w:val="toc 1"/>
    <w:basedOn w:val="1"/>
    <w:next w:val="1"/>
    <w:semiHidden/>
    <w:qFormat/>
    <w:uiPriority w:val="0"/>
  </w:style>
  <w:style w:type="paragraph" w:styleId="10">
    <w:name w:val="toc 2"/>
    <w:basedOn w:val="1"/>
    <w:next w:val="1"/>
    <w:semiHidden/>
    <w:qFormat/>
    <w:uiPriority w:val="0"/>
    <w:pPr>
      <w:ind w:left="420" w:leftChars="200"/>
    </w:pPr>
  </w:style>
  <w:style w:type="paragraph" w:styleId="11">
    <w:name w:val="Body Text First Indent 2"/>
    <w:basedOn w:val="6"/>
    <w:qFormat/>
    <w:uiPriority w:val="0"/>
    <w:pPr>
      <w:spacing w:line="360" w:lineRule="auto"/>
      <w:ind w:firstLine="420" w:firstLineChars="200"/>
    </w:pPr>
    <w:rPr>
      <w:rFonts w:ascii="Times New Roman" w:hAnsi="Times New Roman" w:eastAsia="FangSong_GB2312" w:cs="Times New Roman"/>
      <w:spacing w:val="15"/>
      <w:kern w:val="10"/>
      <w:sz w:val="24"/>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8586</Words>
  <Characters>9042</Characters>
  <Lines>0</Lines>
  <Paragraphs>0</Paragraphs>
  <TotalTime>6</TotalTime>
  <ScaleCrop>false</ScaleCrop>
  <LinksUpToDate>false</LinksUpToDate>
  <CharactersWithSpaces>9555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2025-05-13T05:47:00Z</dcterms:created>
  <dc:creator>Administrator</dc:creator>
  <cp:lastModifiedBy>了了</cp:lastModifiedBy>
  <cp:lastPrinted>2025-05-13T08:35:00Z</cp:lastPrinted>
  <dcterms:modified xsi:type="dcterms:W3CDTF">2025-05-14T05:50:30Z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eyJoZGlkIjoiYTRlYzE3MGUyZTg4ZWQ1ODNmNjg5MGQwMDNmZmE2NTAiLCJ1c2VySWQiOiIyMjgxNTI4NjMifQ==</vt:lpwstr>
  </property>
  <property fmtid="{D5CDD505-2E9C-101B-9397-08002B2CF9AE}" pid="4" name="ICV">
    <vt:lpwstr>DBBF28E7126948D3856B5CF3C088EC3C_12</vt:lpwstr>
  </property>
</Properties>
</file>