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w:t>
      </w:r>
      <w:r>
        <w:rPr>
          <w:rFonts w:hint="eastAsia" w:ascii="宋体" w:hAnsi="宋体"/>
          <w:sz w:val="48"/>
          <w:szCs w:val="48"/>
          <w:lang w:val="en-US" w:eastAsia="zh-CN"/>
        </w:rPr>
        <w:t>小麦</w:t>
      </w:r>
      <w:r>
        <w:rPr>
          <w:rFonts w:hint="eastAsia" w:ascii="宋体" w:hAnsi="宋体"/>
          <w:sz w:val="48"/>
          <w:szCs w:val="48"/>
        </w:rPr>
        <w:t>）采购项目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5D36242F">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宝丰酒业有限公司   </w:t>
      </w:r>
    </w:p>
    <w:p w14:paraId="02571AB1">
      <w:pPr>
        <w:spacing w:line="440" w:lineRule="exact"/>
        <w:ind w:right="42" w:rightChars="20"/>
        <w:jc w:val="center"/>
        <w:rPr>
          <w:rFonts w:ascii="宋体" w:hAnsi="宋体" w:cs="Arial"/>
          <w:sz w:val="36"/>
        </w:rPr>
      </w:pPr>
    </w:p>
    <w:p w14:paraId="739E0143">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2025 </w:t>
      </w:r>
      <w:r>
        <w:rPr>
          <w:rFonts w:hint="eastAsia" w:ascii="宋体" w:hAnsi="宋体" w:cs="Arial"/>
          <w:sz w:val="36"/>
        </w:rPr>
        <w:t>年</w:t>
      </w:r>
      <w:r>
        <w:rPr>
          <w:rFonts w:hint="eastAsia" w:ascii="宋体" w:hAnsi="宋体" w:cs="Arial"/>
          <w:sz w:val="36"/>
          <w:lang w:val="en-US" w:eastAsia="zh-CN"/>
        </w:rPr>
        <w:t>5</w:t>
      </w:r>
      <w:r>
        <w:rPr>
          <w:rFonts w:hint="eastAsia" w:ascii="宋体" w:hAnsi="宋体" w:cs="Arial"/>
          <w:sz w:val="36"/>
        </w:rPr>
        <w:t>月</w:t>
      </w:r>
      <w:r>
        <w:rPr>
          <w:rFonts w:hint="eastAsia" w:ascii="宋体" w:hAnsi="宋体" w:cs="Arial"/>
          <w:sz w:val="36"/>
          <w:lang w:val="en-US" w:eastAsia="zh-CN"/>
        </w:rPr>
        <w:t>26</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Hlk450145192"/>
      <w:bookmarkStart w:id="2" w:name="_Toc308700557"/>
      <w:bookmarkStart w:id="3" w:name="_Toc272141465"/>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309467393"/>
      <w:bookmarkStart w:id="6" w:name="_Toc272141464"/>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宝丰酒业有限公司原辅料--小麦采购招标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贰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月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hint="eastAsia" w:ascii="宋体" w:hAnsi="宋体" w:cs="Arial" w:eastAsiaTheme="minorEastAsia"/>
                <w:sz w:val="24"/>
                <w:szCs w:val="24"/>
                <w:lang w:eastAsia="zh-CN"/>
              </w:rPr>
            </w:pPr>
            <w:r>
              <w:rPr>
                <w:rFonts w:hint="eastAsia" w:ascii="宋体" w:hAnsi="宋体"/>
                <w:sz w:val="24"/>
                <w:szCs w:val="24"/>
              </w:rPr>
              <w:t>合格投标人要求：具有独立法人资格，可按招标要求供应</w:t>
            </w:r>
            <w:r>
              <w:rPr>
                <w:rFonts w:hint="eastAsia" w:ascii="宋体" w:hAnsi="宋体"/>
                <w:sz w:val="24"/>
                <w:szCs w:val="24"/>
                <w:lang w:eastAsia="zh-CN"/>
              </w:rPr>
              <w:t>小麦</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bookmarkStart w:id="21" w:name="_GoBack"/>
            <w:bookmarkEnd w:id="21"/>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投标书份数：正本一份</w:t>
            </w:r>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原辅料--小麦招标项目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w:t>
      </w:r>
      <w:r>
        <w:rPr>
          <w:rFonts w:hint="eastAsia" w:ascii="宋体" w:hAnsi="宋体"/>
          <w:sz w:val="24"/>
          <w:szCs w:val="24"/>
          <w:highlight w:val="none"/>
          <w:u w:val="none"/>
          <w:lang w:eastAsia="zh-CN"/>
        </w:rPr>
        <w:t>小麦</w:t>
      </w:r>
      <w:r>
        <w:rPr>
          <w:rFonts w:hint="eastAsia" w:ascii="宋体" w:hAnsi="宋体"/>
          <w:sz w:val="24"/>
          <w:szCs w:val="24"/>
          <w:highlight w:val="none"/>
          <w:u w:val="none"/>
        </w:rPr>
        <w:t>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2.2</w:t>
      </w:r>
      <w:r>
        <w:rPr>
          <w:rFonts w:hint="eastAsia" w:ascii="宋体" w:hAnsi="宋体" w:cs="Arial"/>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3</w:t>
      </w:r>
      <w:r>
        <w:rPr>
          <w:rFonts w:hint="eastAsia" w:ascii="宋体" w:hAnsi="宋体" w:cs="Arial"/>
          <w:sz w:val="24"/>
          <w:szCs w:val="30"/>
        </w:rPr>
        <w:t>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17E52799">
      <w:pPr>
        <w:keepNext w:val="0"/>
        <w:keepLines w:val="0"/>
        <w:widowControl/>
        <w:suppressLineNumbers w:val="0"/>
        <w:jc w:val="left"/>
        <w:rPr>
          <w:rFonts w:hint="eastAsia" w:ascii="宋体" w:hAnsi="宋体" w:cs="宋体" w:eastAsiaTheme="minorEastAsia"/>
          <w:sz w:val="24"/>
          <w:u w:val="none"/>
          <w:lang w:eastAsia="zh-CN"/>
        </w:rPr>
      </w:pPr>
      <w:r>
        <w:rPr>
          <w:rFonts w:hint="eastAsia" w:ascii="宋体" w:hAnsi="宋体" w:cs="宋体"/>
          <w:sz w:val="24"/>
          <w:lang w:val="en-US" w:eastAsia="zh-CN"/>
        </w:rPr>
        <w:t>三、</w:t>
      </w:r>
      <w:r>
        <w:rPr>
          <w:rFonts w:hint="eastAsia" w:ascii="宋体" w:hAnsi="宋体" w:cs="宋体"/>
          <w:sz w:val="24"/>
        </w:rPr>
        <w:t>质量要求：</w:t>
      </w:r>
      <w:r>
        <w:rPr>
          <w:rFonts w:hint="eastAsia" w:ascii="宋体" w:hAnsi="宋体" w:eastAsia="宋体" w:cs="Times New Roman"/>
          <w:color w:val="000000"/>
          <w:szCs w:val="21"/>
          <w:u w:val="none"/>
          <w:lang w:val="en-US" w:eastAsia="zh-CN"/>
        </w:rPr>
        <w:t>水份12.5%以下，杂质1%以下，容重750g/L以上，色泽气味正常，在内的甲方制定的《原辅料验收标准》</w:t>
      </w:r>
      <w:r>
        <w:rPr>
          <w:rFonts w:hint="eastAsia" w:ascii="宋体" w:hAnsi="宋体" w:cs="宋体"/>
          <w:sz w:val="24"/>
          <w:szCs w:val="24"/>
          <w:u w:val="none"/>
          <w:lang w:val="en-US" w:eastAsia="zh-CN"/>
        </w:rPr>
        <w:t>标准编号为BFJY-WIR-PG-40。</w:t>
      </w:r>
    </w:p>
    <w:p w14:paraId="0288D812">
      <w:pPr>
        <w:numPr>
          <w:ilvl w:val="0"/>
          <w:numId w:val="0"/>
        </w:numPr>
        <w:spacing w:line="360" w:lineRule="auto"/>
        <w:rPr>
          <w:rFonts w:hint="default"/>
          <w:lang w:val="en-US"/>
        </w:rPr>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袋装 。</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3962AE6C">
      <w:pPr>
        <w:pStyle w:val="139"/>
        <w:rPr>
          <w:rStyle w:val="46"/>
        </w:rPr>
      </w:pPr>
      <w:r>
        <w:rPr>
          <w:rStyle w:val="46"/>
          <w:rFonts w:hint="eastAsia"/>
          <w:lang w:val="en-US" w:eastAsia="zh-CN"/>
        </w:rPr>
        <w:t>八、</w:t>
      </w:r>
      <w:r>
        <w:rPr>
          <w:rStyle w:val="46"/>
          <w:rFonts w:hint="eastAsia"/>
        </w:rPr>
        <w:t>样品必须符合我司要求，才能参与我司招标。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22171645"/>
      <w:bookmarkStart w:id="17" w:name="_Toc109299638"/>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733575E4">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B778">
            <w:pPr>
              <w:jc w:val="center"/>
              <w:rPr>
                <w:rFonts w:hint="eastAsia" w:ascii="宋体" w:hAnsi="宋体" w:cs="宋体"/>
                <w:szCs w:val="21"/>
                <w:lang w:eastAsia="zh-CN"/>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24472">
            <w:pPr>
              <w:jc w:val="cente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356C2">
            <w:pPr>
              <w:jc w:val="cente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D2F89E">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EE279">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DFC4E93">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3D1D9E04">
      <w:pPr>
        <w:widowControl/>
        <w:ind w:firstLine="420" w:firstLineChars="200"/>
        <w:jc w:val="left"/>
        <w:rPr>
          <w:rFonts w:ascii="宋体" w:hAnsi="宋体" w:cs="宋体"/>
          <w:szCs w:val="21"/>
        </w:rPr>
      </w:pPr>
      <w:r>
        <w:rPr>
          <w:rFonts w:ascii="宋体" w:hAnsi="宋体" w:cs="宋体"/>
          <w:szCs w:val="21"/>
        </w:rPr>
        <w:t>乙方应遵守食品安全承诺和食品安全标准，并在合同签订后【 2 】日内提供【</w:t>
      </w:r>
      <w:r>
        <w:rPr>
          <w:rFonts w:hint="eastAsia" w:ascii="宋体" w:hAnsi="宋体" w:cs="宋体"/>
          <w:szCs w:val="21"/>
          <w:lang w:val="en-US" w:eastAsia="zh-CN"/>
        </w:rPr>
        <w:t>第三方检测报告</w:t>
      </w:r>
      <w:r>
        <w:rPr>
          <w:rFonts w:ascii="宋体" w:hAnsi="宋体" w:cs="宋体"/>
          <w:color w:val="000000"/>
          <w:szCs w:val="21"/>
        </w:rPr>
        <w:t xml:space="preserve"> </w:t>
      </w:r>
      <w:r>
        <w:rPr>
          <w:rFonts w:ascii="宋体" w:hAnsi="宋体" w:cs="宋体"/>
          <w:szCs w:val="21"/>
        </w:rPr>
        <w:t>】（若该报告在合同期限内到期，乙方应在到期前及时提供新报告）。</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日前交货完毕；乙方按照甲方要求的运输方式负责运输至甲方仓库，</w:t>
      </w:r>
      <w:r>
        <w:rPr>
          <w:rFonts w:hint="eastAsia" w:ascii="宋体" w:hAnsi="宋体" w:cs="宋体"/>
          <w:szCs w:val="21"/>
          <w:highlight w:val="none"/>
          <w:lang w:val="en-US" w:eastAsia="zh-CN"/>
        </w:rPr>
        <w:t>并随车携带每车的</w:t>
      </w:r>
      <w:r>
        <w:rPr>
          <w:rFonts w:ascii="宋体" w:hAnsi="宋体" w:cs="宋体"/>
          <w:szCs w:val="21"/>
          <w:highlight w:val="none"/>
        </w:rPr>
        <w:t>【</w:t>
      </w:r>
      <w:r>
        <w:rPr>
          <w:rFonts w:hint="eastAsia" w:ascii="宋体" w:hAnsi="宋体" w:cs="宋体"/>
          <w:szCs w:val="21"/>
          <w:highlight w:val="none"/>
          <w:lang w:val="en-US" w:eastAsia="zh-CN"/>
        </w:rPr>
        <w:t>原辅材料</w:t>
      </w:r>
      <w:r>
        <w:rPr>
          <w:rFonts w:ascii="宋体" w:hAnsi="宋体" w:cs="宋体"/>
          <w:szCs w:val="21"/>
          <w:highlight w:val="none"/>
        </w:rPr>
        <w:t>出厂</w:t>
      </w:r>
      <w:r>
        <w:rPr>
          <w:rFonts w:hint="eastAsia" w:ascii="宋体" w:hAnsi="宋体" w:cs="宋体"/>
          <w:szCs w:val="21"/>
          <w:highlight w:val="none"/>
          <w:lang w:val="en-US" w:eastAsia="zh-CN"/>
        </w:rPr>
        <w:t>质量</w:t>
      </w:r>
      <w:r>
        <w:rPr>
          <w:rFonts w:ascii="宋体" w:hAnsi="宋体" w:cs="宋体"/>
          <w:szCs w:val="21"/>
          <w:highlight w:val="none"/>
        </w:rPr>
        <w:t>检测报告】</w:t>
      </w:r>
      <w:r>
        <w:rPr>
          <w:rFonts w:hint="eastAsia" w:ascii="宋体" w:hAnsi="宋体" w:cs="宋体"/>
          <w:szCs w:val="21"/>
          <w:highlight w:val="none"/>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履约保证金【</w:t>
      </w:r>
      <w:r>
        <w:rPr>
          <w:rFonts w:hint="eastAsia"/>
          <w:lang w:val="en-US" w:eastAsia="zh-CN"/>
        </w:rPr>
        <w:t>20000</w:t>
      </w:r>
      <w:r>
        <w:rPr>
          <w:rFonts w:hint="eastAsia"/>
        </w:rPr>
        <w:t>】元（大写：【</w:t>
      </w:r>
      <w:r>
        <w:rPr>
          <w:rFonts w:hint="eastAsia"/>
          <w:lang w:val="en-US" w:eastAsia="zh-CN"/>
        </w:rPr>
        <w:t>贰万元整</w:t>
      </w:r>
      <w:r>
        <w:rPr>
          <w:rFonts w:hint="eastAsia"/>
        </w:rPr>
        <w:t xml:space="preserve">】），乙方应于本合同签订之日起【10】日内支付，否则，甲方有权单方解除本合同。 </w:t>
      </w:r>
    </w:p>
    <w:p w14:paraId="555D7EE1">
      <w:pPr>
        <w:numPr>
          <w:ilvl w:val="0"/>
          <w:numId w:val="0"/>
        </w:numPr>
        <w:ind w:leftChars="0"/>
        <w:rPr>
          <w:rFonts w:hint="eastAsia"/>
        </w:rPr>
      </w:pPr>
      <w:r>
        <w:rPr>
          <w:rFonts w:hint="eastAsia"/>
        </w:rPr>
        <w:t>2.2若乙方已于上一年度（月度）支付前述等额保证金，可转为本合同保证金，甲方有权自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2.3 在最后一批原辅料到货抽检验收后【 】日内，若未出现违反第三条验收标准的情形，且甲乙双方已结清包括货款、违约金、罚款等全部费用后，甲方无息退还剩余履约保证金。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12641669">
      <w:pPr>
        <w:keepNext w:val="0"/>
        <w:keepLines w:val="0"/>
        <w:widowControl/>
        <w:suppressLineNumbers w:val="0"/>
        <w:jc w:val="left"/>
        <w:rPr>
          <w:rFonts w:ascii="宋体" w:hAnsi="宋体"/>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eastAsia="宋体" w:cs="Times New Roman"/>
          <w:color w:val="000000"/>
          <w:szCs w:val="21"/>
          <w:u w:val="single"/>
          <w:lang w:val="en-US" w:eastAsia="zh-CN"/>
        </w:rPr>
        <w:t>水份12.5%以下，杂质1%以下，容重750g/L以上，色泽气味正常，在内的甲方制定的《原辅料验收标准》</w:t>
      </w:r>
      <w:r>
        <w:rPr>
          <w:rFonts w:hint="eastAsia" w:ascii="宋体" w:hAnsi="宋体" w:cs="宋体"/>
          <w:sz w:val="24"/>
          <w:szCs w:val="24"/>
          <w:u w:val="single"/>
          <w:lang w:val="en-US" w:eastAsia="zh-CN"/>
        </w:rPr>
        <w:t>标准编号为BFJY-WIR-PG-40和检验方法进行验收</w:t>
      </w:r>
      <w:r>
        <w:rPr>
          <w:rFonts w:hint="eastAsia" w:ascii="宋体" w:hAnsi="宋体" w:eastAsia="宋体" w:cs="Times New Roman"/>
          <w:color w:val="000000"/>
          <w:szCs w:val="21"/>
          <w:u w:val="single"/>
          <w:lang w:val="en-US" w:eastAsia="zh-CN"/>
        </w:rPr>
        <w:t>，其他指标符合国家标准。</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 xml:space="preserve">，乙方应在【 </w:t>
      </w:r>
      <w:r>
        <w:rPr>
          <w:rFonts w:hint="eastAsia" w:ascii="宋体" w:hAnsi="宋体"/>
          <w:color w:val="000000"/>
          <w:szCs w:val="21"/>
          <w:lang w:val="en-US" w:eastAsia="zh-CN"/>
        </w:rPr>
        <w:t>3</w:t>
      </w:r>
      <w:r>
        <w:rPr>
          <w:rFonts w:hint="eastAsia" w:ascii="宋体" w:hAnsi="宋体"/>
          <w:color w:val="000000"/>
          <w:szCs w:val="21"/>
          <w:lang w:eastAsia="zh-CN"/>
        </w:rPr>
        <w:t xml:space="preserve"> 】日内完成换货（包括自行运回不合格部分的原辅料，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】克/袋），到货数量</w:t>
      </w:r>
      <w:r>
        <w:rPr>
          <w:rFonts w:hint="eastAsia" w:ascii="宋体" w:hAnsi="宋体"/>
          <w:color w:val="000000"/>
          <w:szCs w:val="21"/>
          <w:lang w:val="en-US" w:eastAsia="zh-CN"/>
        </w:rPr>
        <w:t>大</w:t>
      </w:r>
      <w:r>
        <w:rPr>
          <w:rFonts w:hint="eastAsia" w:ascii="宋体" w:hAnsi="宋体"/>
          <w:color w:val="000000"/>
          <w:szCs w:val="21"/>
          <w:lang w:eastAsia="zh-CN"/>
        </w:rPr>
        <w:t>于</w:t>
      </w:r>
      <w:r>
        <w:rPr>
          <w:rFonts w:hint="eastAsia" w:ascii="宋体" w:hAnsi="宋体"/>
          <w:color w:val="000000"/>
          <w:szCs w:val="21"/>
          <w:lang w:val="en-US" w:eastAsia="zh-CN"/>
        </w:rPr>
        <w:t>等于</w:t>
      </w:r>
      <w:r>
        <w:rPr>
          <w:rFonts w:hint="eastAsia" w:ascii="宋体" w:hAnsi="宋体"/>
          <w:color w:val="000000"/>
          <w:szCs w:val="21"/>
          <w:lang w:eastAsia="zh-CN"/>
        </w:rPr>
        <w:t>【采购订单】数量，</w:t>
      </w:r>
      <w:r>
        <w:rPr>
          <w:rFonts w:hint="eastAsia" w:ascii="宋体" w:hAnsi="宋体"/>
          <w:color w:val="000000"/>
          <w:szCs w:val="21"/>
          <w:lang w:val="en-US" w:eastAsia="zh-CN"/>
        </w:rPr>
        <w:t>但</w:t>
      </w:r>
      <w:r>
        <w:rPr>
          <w:rFonts w:hint="eastAsia" w:ascii="宋体" w:hAnsi="宋体"/>
          <w:color w:val="000000"/>
          <w:szCs w:val="21"/>
          <w:lang w:eastAsia="zh-CN"/>
        </w:rPr>
        <w:t>差异</w:t>
      </w:r>
      <w:r>
        <w:rPr>
          <w:rFonts w:hint="eastAsia" w:ascii="宋体" w:hAnsi="宋体"/>
          <w:color w:val="000000"/>
          <w:szCs w:val="21"/>
          <w:lang w:val="en-US" w:eastAsia="zh-CN"/>
        </w:rPr>
        <w:t>不得</w:t>
      </w:r>
      <w:r>
        <w:rPr>
          <w:rFonts w:hint="eastAsia" w:ascii="宋体" w:hAnsi="宋体"/>
          <w:color w:val="000000"/>
          <w:szCs w:val="21"/>
          <w:lang w:eastAsia="zh-CN"/>
        </w:rPr>
        <w:t>超过【</w:t>
      </w:r>
      <w:r>
        <w:rPr>
          <w:rFonts w:hint="eastAsia" w:ascii="宋体" w:hAnsi="宋体"/>
          <w:color w:val="000000"/>
          <w:szCs w:val="21"/>
          <w:lang w:val="en-US" w:eastAsia="zh-CN"/>
        </w:rPr>
        <w:t>10</w:t>
      </w:r>
      <w:r>
        <w:rPr>
          <w:rFonts w:hint="eastAsia" w:ascii="宋体" w:hAnsi="宋体"/>
          <w:color w:val="000000"/>
          <w:szCs w:val="21"/>
          <w:lang w:eastAsia="zh-CN"/>
        </w:rPr>
        <w:t>】吨</w:t>
      </w:r>
      <w:r>
        <w:rPr>
          <w:rFonts w:hint="eastAsia" w:ascii="宋体" w:hAnsi="宋体"/>
          <w:color w:val="000000"/>
          <w:szCs w:val="21"/>
          <w:lang w:val="en-US" w:eastAsia="zh-CN"/>
        </w:rPr>
        <w:t>,</w:t>
      </w:r>
      <w:r>
        <w:rPr>
          <w:rFonts w:hint="eastAsia" w:ascii="宋体" w:hAnsi="宋体"/>
          <w:color w:val="000000"/>
          <w:szCs w:val="21"/>
          <w:lang w:eastAsia="zh-CN"/>
        </w:rPr>
        <w:t>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9EE1B9">
      <w:pPr>
        <w:numPr>
          <w:ilvl w:val="0"/>
          <w:numId w:val="0"/>
        </w:numPr>
        <w:ind w:leftChars="0"/>
        <w:rPr>
          <w:rFonts w:hint="eastAsia"/>
          <w:highlight w:val="none"/>
        </w:rPr>
      </w:pPr>
      <w:r>
        <w:rPr>
          <w:rFonts w:hint="eastAsia"/>
          <w:highlight w:val="none"/>
        </w:rPr>
        <w:t>4.3</w:t>
      </w:r>
      <w:r>
        <w:rPr>
          <w:rFonts w:hint="eastAsia"/>
          <w:highlight w:val="none"/>
          <w:lang w:val="en-US" w:eastAsia="zh-CN"/>
        </w:rPr>
        <w:t>货到付款，以双方约定的合同标的执行完毕后，</w:t>
      </w:r>
      <w:r>
        <w:rPr>
          <w:rFonts w:hint="eastAsia"/>
          <w:highlight w:val="none"/>
        </w:rPr>
        <w:t>甲方</w:t>
      </w:r>
      <w:r>
        <w:rPr>
          <w:rFonts w:hint="eastAsia"/>
          <w:highlight w:val="none"/>
          <w:lang w:val="en-US" w:eastAsia="zh-CN"/>
        </w:rPr>
        <w:t>在</w:t>
      </w:r>
      <w:r>
        <w:rPr>
          <w:rFonts w:hint="eastAsia"/>
          <w:highlight w:val="none"/>
        </w:rPr>
        <w:t>收到乙方开具</w:t>
      </w:r>
      <w:r>
        <w:rPr>
          <w:rFonts w:hint="eastAsia"/>
          <w:highlight w:val="none"/>
          <w:lang w:val="en-US" w:eastAsia="zh-CN"/>
        </w:rPr>
        <w:t>合格的全额的增值税专用</w:t>
      </w:r>
      <w:r>
        <w:rPr>
          <w:rFonts w:hint="eastAsia"/>
          <w:highlight w:val="none"/>
        </w:rPr>
        <w:t xml:space="preserve">发票后【 </w:t>
      </w:r>
      <w:r>
        <w:rPr>
          <w:rFonts w:hint="eastAsia"/>
          <w:highlight w:val="none"/>
          <w:lang w:val="en-US" w:eastAsia="zh-CN"/>
        </w:rPr>
        <w:t>10</w:t>
      </w:r>
      <w:r>
        <w:rPr>
          <w:rFonts w:hint="eastAsia"/>
          <w:highlight w:val="none"/>
        </w:rPr>
        <w:t xml:space="preserve"> 】</w:t>
      </w:r>
      <w:r>
        <w:rPr>
          <w:rFonts w:hint="eastAsia"/>
          <w:highlight w:val="none"/>
          <w:lang w:val="en-US" w:eastAsia="zh-CN"/>
        </w:rPr>
        <w:t>个工作日内</w:t>
      </w:r>
      <w:r>
        <w:rPr>
          <w:rFonts w:hint="eastAsia"/>
          <w:highlight w:val="none"/>
        </w:rPr>
        <w:t>支付</w:t>
      </w:r>
      <w:r>
        <w:rPr>
          <w:rFonts w:hint="eastAsia"/>
          <w:highlight w:val="none"/>
          <w:lang w:val="en-US" w:eastAsia="zh-CN"/>
        </w:rPr>
        <w:t>全部</w:t>
      </w:r>
      <w:r>
        <w:rPr>
          <w:rFonts w:hint="eastAsia"/>
          <w:highlight w:val="none"/>
        </w:rPr>
        <w:t xml:space="preserve">货款。  </w:t>
      </w:r>
    </w:p>
    <w:p w14:paraId="6A6049D3">
      <w:pPr>
        <w:numPr>
          <w:ilvl w:val="0"/>
          <w:numId w:val="0"/>
        </w:numPr>
        <w:ind w:leftChars="0"/>
        <w:rPr>
          <w:rFonts w:hint="eastAsia"/>
          <w:highlight w:val="none"/>
        </w:rPr>
      </w:pPr>
      <w:r>
        <w:rPr>
          <w:rFonts w:hint="eastAsia"/>
          <w:highlight w:val="none"/>
        </w:rPr>
        <w:t>增值税专用发票，税率为【</w:t>
      </w:r>
      <w:r>
        <w:rPr>
          <w:rFonts w:hint="eastAsia"/>
          <w:highlight w:val="none"/>
          <w:lang w:val="en-US" w:eastAsia="zh-CN"/>
        </w:rPr>
        <w:t>9</w:t>
      </w:r>
      <w:r>
        <w:rPr>
          <w:rFonts w:hint="eastAsia"/>
          <w:highlight w:val="none"/>
        </w:rPr>
        <w:t>】%</w:t>
      </w:r>
      <w:r>
        <w:rPr>
          <w:rFonts w:hint="eastAsia"/>
          <w:highlight w:val="none"/>
          <w:lang w:eastAsia="zh-CN"/>
        </w:rPr>
        <w:t>（</w:t>
      </w:r>
      <w:r>
        <w:rPr>
          <w:rFonts w:hint="eastAsia"/>
          <w:highlight w:val="none"/>
          <w:lang w:val="en-US" w:eastAsia="zh-CN"/>
        </w:rPr>
        <w:t>遵照国家相关规定</w:t>
      </w:r>
      <w:r>
        <w:rPr>
          <w:rFonts w:hint="eastAsia"/>
          <w:highlight w:val="none"/>
          <w:lang w:eastAsia="zh-CN"/>
        </w:rPr>
        <w:t>）</w:t>
      </w:r>
      <w:r>
        <w:rPr>
          <w:rFonts w:hint="eastAsia"/>
          <w:highlight w:val="none"/>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04D068A6">
      <w:pPr>
        <w:numPr>
          <w:ilvl w:val="0"/>
          <w:numId w:val="0"/>
        </w:numPr>
        <w:ind w:leftChars="0"/>
        <w:rPr>
          <w:rFonts w:hint="eastAsia"/>
        </w:rPr>
      </w:pPr>
      <w:r>
        <w:rPr>
          <w:rFonts w:hint="eastAsia" w:ascii="宋体" w:hAnsi="宋体" w:cs="宋体"/>
          <w:color w:val="000000"/>
          <w:kern w:val="0"/>
          <w:szCs w:val="21"/>
          <w:lang w:val="en-US" w:eastAsia="zh-CN"/>
        </w:rPr>
        <w:t>5.6</w:t>
      </w:r>
      <w:r>
        <w:rPr>
          <w:rFonts w:hint="eastAsia" w:ascii="宋体" w:hAnsi="宋体" w:eastAsia="宋体" w:cs="宋体"/>
          <w:b w:val="0"/>
          <w:bCs w:val="0"/>
          <w:color w:val="000000"/>
          <w:kern w:val="0"/>
          <w:sz w:val="21"/>
          <w:szCs w:val="21"/>
          <w:lang w:val="en-US" w:eastAsia="zh-CN"/>
        </w:rPr>
        <w:t>本合同中所有违约金的标准双方已经进行充分考量，双方同意在发生争议时放弃向法院请求调整违约金过高的请求。</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pPr>
      <w:r>
        <w:rPr>
          <w:rFonts w:hint="eastAsia"/>
        </w:rPr>
        <w:t>10.10本合同未尽事项，双方另行协商解决。</w:t>
      </w:r>
    </w:p>
    <w:p w14:paraId="60BD3928">
      <w:pPr>
        <w:pStyle w:val="3"/>
        <w:jc w:val="center"/>
        <w:rPr>
          <w:rFonts w:ascii="宋体" w:hAnsi="宋体" w:eastAsia="宋体"/>
          <w:sz w:val="28"/>
        </w:rPr>
      </w:pPr>
      <w:bookmarkStart w:id="18" w:name="_Toc308700569"/>
      <w:bookmarkStart w:id="19" w:name="_Toc272141472"/>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10452" w:type="dxa"/>
        <w:jc w:val="center"/>
        <w:tblLayout w:type="fixed"/>
        <w:tblCellMar>
          <w:top w:w="0" w:type="dxa"/>
          <w:left w:w="0" w:type="dxa"/>
          <w:bottom w:w="0" w:type="dxa"/>
          <w:right w:w="0" w:type="dxa"/>
        </w:tblCellMar>
      </w:tblPr>
      <w:tblGrid>
        <w:gridCol w:w="710"/>
        <w:gridCol w:w="1167"/>
        <w:gridCol w:w="1000"/>
        <w:gridCol w:w="1425"/>
        <w:gridCol w:w="1545"/>
        <w:gridCol w:w="1605"/>
        <w:gridCol w:w="1500"/>
        <w:gridCol w:w="1500"/>
      </w:tblGrid>
      <w:tr w14:paraId="1409D5E9">
        <w:tblPrEx>
          <w:tblCellMar>
            <w:top w:w="0" w:type="dxa"/>
            <w:left w:w="0" w:type="dxa"/>
            <w:bottom w:w="0" w:type="dxa"/>
            <w:right w:w="0" w:type="dxa"/>
          </w:tblCellMar>
        </w:tblPrEx>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1167" w:type="dxa"/>
            <w:tcBorders>
              <w:top w:val="single" w:color="000000" w:sz="4" w:space="0"/>
              <w:left w:val="single" w:color="000000" w:sz="4" w:space="0"/>
              <w:bottom w:val="single" w:color="000000"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1000"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425" w:type="dxa"/>
            <w:tcBorders>
              <w:top w:val="single" w:color="000000" w:sz="4" w:space="0"/>
              <w:left w:val="single" w:color="000000" w:sz="4" w:space="0"/>
              <w:bottom w:val="single" w:color="000000" w:sz="4" w:space="0"/>
              <w:right w:val="single" w:color="auto" w:sz="4" w:space="0"/>
              <w:tl2br w:val="nil"/>
              <w:tr2bl w:val="nil"/>
            </w:tcBorders>
            <w:vAlign w:val="center"/>
          </w:tcPr>
          <w:p w14:paraId="74B2B018">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不含税到岸价</w:t>
            </w:r>
          </w:p>
          <w:p w14:paraId="726D30C2">
            <w:pPr>
              <w:snapToGrid w:val="0"/>
              <w:spacing w:line="360" w:lineRule="auto"/>
              <w:jc w:val="center"/>
              <w:rPr>
                <w:rFonts w:hint="default" w:ascii="宋体" w:cs="宋体" w:eastAsiaTheme="minorEastAsia"/>
                <w:b/>
                <w:bCs/>
                <w:szCs w:val="21"/>
                <w:lang w:val="en-US" w:eastAsia="zh-CN"/>
              </w:rPr>
            </w:pPr>
            <w:r>
              <w:rPr>
                <w:rFonts w:hint="eastAsia" w:ascii="宋体" w:cs="宋体"/>
                <w:b/>
                <w:bCs/>
                <w:szCs w:val="21"/>
                <w:lang w:val="en-US" w:eastAsia="zh-CN"/>
              </w:rPr>
              <w:t>（元/吨）</w:t>
            </w:r>
          </w:p>
        </w:tc>
        <w:tc>
          <w:tcPr>
            <w:tcW w:w="1545" w:type="dxa"/>
            <w:tcBorders>
              <w:top w:val="single" w:color="000000" w:sz="4" w:space="0"/>
              <w:left w:val="single" w:color="000000" w:sz="4" w:space="0"/>
              <w:bottom w:val="single" w:color="000000" w:sz="4" w:space="0"/>
              <w:right w:val="single" w:color="auto" w:sz="4" w:space="0"/>
              <w:tl2br w:val="nil"/>
              <w:tr2bl w:val="nil"/>
            </w:tcBorders>
            <w:vAlign w:val="center"/>
          </w:tcPr>
          <w:p w14:paraId="3F423C97">
            <w:pPr>
              <w:snapToGrid w:val="0"/>
              <w:spacing w:line="360" w:lineRule="auto"/>
              <w:jc w:val="center"/>
              <w:rPr>
                <w:rFonts w:hint="eastAsia" w:ascii="宋体" w:cs="宋体" w:eastAsiaTheme="minorEastAsia"/>
                <w:b/>
                <w:bCs/>
                <w:szCs w:val="21"/>
                <w:lang w:val="en-US" w:eastAsia="zh-CN"/>
              </w:rPr>
            </w:pPr>
            <w:r>
              <w:rPr>
                <w:rFonts w:hint="eastAsia" w:ascii="宋体" w:cs="宋体"/>
                <w:b/>
                <w:bCs/>
                <w:szCs w:val="21"/>
                <w:lang w:val="en-US" w:eastAsia="zh-CN"/>
              </w:rPr>
              <w:t>不</w:t>
            </w:r>
            <w:r>
              <w:rPr>
                <w:rFonts w:hint="eastAsia" w:ascii="宋体" w:cs="宋体"/>
                <w:b/>
                <w:bCs/>
                <w:szCs w:val="21"/>
              </w:rPr>
              <w:t>含税</w:t>
            </w:r>
            <w:r>
              <w:rPr>
                <w:rFonts w:hint="eastAsia" w:ascii="宋体" w:cs="宋体"/>
                <w:b/>
                <w:bCs/>
                <w:szCs w:val="21"/>
                <w:lang w:val="en-US" w:eastAsia="zh-CN"/>
              </w:rPr>
              <w:t>总额</w:t>
            </w:r>
          </w:p>
          <w:p w14:paraId="782911A8">
            <w:pPr>
              <w:snapToGrid w:val="0"/>
              <w:spacing w:line="360" w:lineRule="auto"/>
              <w:jc w:val="center"/>
              <w:rPr>
                <w:rFonts w:ascii="宋体" w:cs="宋体"/>
                <w:b/>
                <w:bCs/>
                <w:szCs w:val="21"/>
              </w:rPr>
            </w:pPr>
            <w:r>
              <w:rPr>
                <w:rFonts w:hint="eastAsia" w:ascii="宋体" w:cs="宋体"/>
                <w:b/>
                <w:bCs/>
                <w:szCs w:val="21"/>
              </w:rPr>
              <w:t>（元）</w:t>
            </w:r>
          </w:p>
        </w:tc>
        <w:tc>
          <w:tcPr>
            <w:tcW w:w="1605" w:type="dxa"/>
            <w:tcBorders>
              <w:top w:val="single" w:color="000000" w:sz="4" w:space="0"/>
              <w:left w:val="single" w:color="auto" w:sz="4" w:space="0"/>
              <w:bottom w:val="single" w:color="000000" w:sz="4" w:space="0"/>
              <w:right w:val="single" w:color="auto" w:sz="4" w:space="0"/>
              <w:tl2br w:val="nil"/>
              <w:tr2bl w:val="nil"/>
            </w:tcBorders>
            <w:vAlign w:val="center"/>
          </w:tcPr>
          <w:p w14:paraId="0B09E8A9">
            <w:pPr>
              <w:snapToGrid w:val="0"/>
              <w:spacing w:line="360" w:lineRule="auto"/>
              <w:jc w:val="center"/>
              <w:rPr>
                <w:rFonts w:ascii="宋体" w:cs="宋体"/>
                <w:b/>
                <w:bCs/>
                <w:szCs w:val="21"/>
              </w:rPr>
            </w:pPr>
            <w:r>
              <w:rPr>
                <w:rFonts w:hint="eastAsia" w:ascii="宋体" w:cs="宋体"/>
                <w:b/>
                <w:bCs/>
                <w:szCs w:val="21"/>
              </w:rPr>
              <w:t>含税到岸价</w:t>
            </w:r>
          </w:p>
          <w:p w14:paraId="3B85EAA3">
            <w:pPr>
              <w:snapToGrid w:val="0"/>
              <w:spacing w:line="360" w:lineRule="auto"/>
              <w:jc w:val="center"/>
              <w:rPr>
                <w:rFonts w:ascii="宋体" w:cs="宋体"/>
                <w:b/>
                <w:bCs/>
                <w:szCs w:val="21"/>
              </w:rPr>
            </w:pPr>
            <w:r>
              <w:rPr>
                <w:rFonts w:hint="eastAsia" w:ascii="宋体" w:cs="宋体"/>
                <w:b/>
                <w:bCs/>
                <w:szCs w:val="21"/>
              </w:rPr>
              <w:t>（元/吨）</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60EF9616">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含税总额</w:t>
            </w:r>
          </w:p>
          <w:p w14:paraId="283538B5">
            <w:pPr>
              <w:snapToGrid w:val="0"/>
              <w:spacing w:line="360" w:lineRule="auto"/>
              <w:jc w:val="center"/>
              <w:rPr>
                <w:rFonts w:hint="default" w:ascii="宋体" w:cs="宋体"/>
                <w:b/>
                <w:bCs/>
                <w:szCs w:val="21"/>
                <w:lang w:val="en-US" w:eastAsia="zh-CN"/>
              </w:rPr>
            </w:pPr>
            <w:r>
              <w:rPr>
                <w:rFonts w:hint="eastAsia" w:ascii="宋体" w:cs="宋体"/>
                <w:b/>
                <w:bCs/>
                <w:szCs w:val="21"/>
                <w:lang w:val="en-US" w:eastAsia="zh-CN"/>
              </w:rPr>
              <w:t>（元）</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0459AC02">
            <w:pPr>
              <w:snapToGrid w:val="0"/>
              <w:spacing w:line="360" w:lineRule="auto"/>
              <w:jc w:val="center"/>
              <w:rPr>
                <w:rFonts w:hint="eastAsia" w:ascii="宋体" w:cs="宋体"/>
                <w:b/>
                <w:bCs/>
                <w:szCs w:val="21"/>
              </w:rPr>
            </w:pPr>
            <w:r>
              <w:rPr>
                <w:rFonts w:hint="eastAsia" w:ascii="宋体" w:cs="宋体"/>
                <w:b/>
                <w:bCs/>
                <w:szCs w:val="21"/>
              </w:rPr>
              <w:t>备注</w:t>
            </w:r>
          </w:p>
        </w:tc>
      </w:tr>
      <w:tr w14:paraId="585146D5">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1CCDFF8">
            <w:pPr>
              <w:spacing w:line="360" w:lineRule="auto"/>
              <w:jc w:val="center"/>
              <w:rPr>
                <w:rFonts w:hint="eastAsia" w:ascii="宋体" w:eastAsiaTheme="minorEastAsia"/>
                <w:szCs w:val="21"/>
                <w:lang w:val="en-US" w:eastAsia="zh-CN"/>
              </w:rPr>
            </w:pPr>
            <w:r>
              <w:rPr>
                <w:rFonts w:hint="eastAsia" w:ascii="宋体"/>
                <w:szCs w:val="21"/>
                <w:lang w:val="en-US" w:eastAsia="zh-CN"/>
              </w:rPr>
              <w:t>1</w:t>
            </w:r>
          </w:p>
        </w:tc>
        <w:tc>
          <w:tcPr>
            <w:tcW w:w="1167" w:type="dxa"/>
            <w:tcBorders>
              <w:left w:val="single" w:color="000000" w:sz="4" w:space="0"/>
              <w:bottom w:val="nil"/>
              <w:right w:val="nil"/>
              <w:tl2br w:val="nil"/>
              <w:tr2bl w:val="nil"/>
            </w:tcBorders>
            <w:shd w:val="clear" w:color="auto" w:fill="FFFFFF"/>
            <w:vAlign w:val="center"/>
          </w:tcPr>
          <w:p w14:paraId="0BE37114">
            <w:pPr>
              <w:spacing w:line="360" w:lineRule="auto"/>
              <w:jc w:val="center"/>
              <w:rPr>
                <w:rFonts w:hint="default" w:ascii="宋体" w:eastAsiaTheme="minorEastAsia"/>
                <w:szCs w:val="21"/>
                <w:lang w:val="en-US" w:eastAsia="zh-CN"/>
              </w:rPr>
            </w:pPr>
            <w:r>
              <w:rPr>
                <w:rFonts w:hint="eastAsia" w:ascii="宋体"/>
                <w:szCs w:val="21"/>
                <w:lang w:val="en-US" w:eastAsia="zh-CN"/>
              </w:rPr>
              <w:t>小麦</w:t>
            </w:r>
          </w:p>
        </w:tc>
        <w:tc>
          <w:tcPr>
            <w:tcW w:w="1000" w:type="dxa"/>
            <w:tcBorders>
              <w:top w:val="single" w:color="000000" w:sz="4" w:space="0"/>
              <w:left w:val="single" w:color="000000" w:sz="4" w:space="0"/>
              <w:bottom w:val="nil"/>
              <w:right w:val="nil"/>
              <w:tl2br w:val="nil"/>
              <w:tr2bl w:val="nil"/>
            </w:tcBorders>
            <w:shd w:val="clear" w:color="auto" w:fill="FFFFFF"/>
            <w:vAlign w:val="center"/>
          </w:tcPr>
          <w:p w14:paraId="16D165F8">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965.32</w:t>
            </w:r>
          </w:p>
        </w:tc>
        <w:tc>
          <w:tcPr>
            <w:tcW w:w="1425" w:type="dxa"/>
            <w:tcBorders>
              <w:top w:val="single" w:color="000000" w:sz="4" w:space="0"/>
              <w:left w:val="single" w:color="000000" w:sz="4" w:space="0"/>
              <w:bottom w:val="nil"/>
              <w:right w:val="nil"/>
              <w:tl2br w:val="nil"/>
              <w:tr2bl w:val="nil"/>
            </w:tcBorders>
            <w:vAlign w:val="center"/>
          </w:tcPr>
          <w:p w14:paraId="089CF69B">
            <w:pPr>
              <w:spacing w:line="360" w:lineRule="auto"/>
              <w:ind w:firstLine="420" w:firstLineChars="200"/>
              <w:jc w:val="center"/>
              <w:rPr>
                <w:rFonts w:ascii="宋体" w:cs="宋体"/>
                <w:szCs w:val="21"/>
              </w:rPr>
            </w:pPr>
          </w:p>
        </w:tc>
        <w:tc>
          <w:tcPr>
            <w:tcW w:w="1545" w:type="dxa"/>
            <w:tcBorders>
              <w:top w:val="single" w:color="000000" w:sz="4" w:space="0"/>
              <w:left w:val="single" w:color="000000" w:sz="4" w:space="0"/>
              <w:bottom w:val="nil"/>
              <w:right w:val="nil"/>
              <w:tl2br w:val="nil"/>
              <w:tr2bl w:val="nil"/>
            </w:tcBorders>
            <w:vAlign w:val="center"/>
          </w:tcPr>
          <w:p w14:paraId="516DDA6A">
            <w:pPr>
              <w:spacing w:line="360" w:lineRule="auto"/>
              <w:ind w:firstLine="420" w:firstLineChars="200"/>
              <w:jc w:val="center"/>
              <w:rPr>
                <w:rFonts w:ascii="宋体" w:cs="宋体"/>
                <w:szCs w:val="21"/>
              </w:rPr>
            </w:pPr>
          </w:p>
        </w:tc>
        <w:tc>
          <w:tcPr>
            <w:tcW w:w="1605" w:type="dxa"/>
            <w:tcBorders>
              <w:top w:val="single" w:color="000000" w:sz="4" w:space="0"/>
              <w:left w:val="single" w:color="000000" w:sz="4" w:space="0"/>
              <w:bottom w:val="single" w:color="000000" w:sz="4" w:space="0"/>
              <w:right w:val="single" w:color="auto" w:sz="4" w:space="0"/>
              <w:tl2br w:val="nil"/>
              <w:tr2bl w:val="nil"/>
            </w:tcBorders>
            <w:vAlign w:val="center"/>
          </w:tcPr>
          <w:p w14:paraId="4DF425C2">
            <w:pPr>
              <w:spacing w:line="360" w:lineRule="auto"/>
              <w:ind w:firstLine="420" w:firstLineChars="200"/>
              <w:jc w:val="center"/>
              <w:rPr>
                <w:rFonts w:ascii="宋体" w:cs="宋体"/>
                <w:szCs w:val="21"/>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38D9C946">
            <w:pPr>
              <w:spacing w:line="360" w:lineRule="auto"/>
              <w:jc w:val="center"/>
              <w:rPr>
                <w:rFonts w:hint="eastAsia" w:ascii="宋体" w:cs="宋体" w:eastAsiaTheme="minorEastAsia"/>
                <w:szCs w:val="21"/>
                <w:lang w:eastAsia="zh-CN"/>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494FE8A7">
            <w:pPr>
              <w:spacing w:line="360" w:lineRule="auto"/>
              <w:jc w:val="center"/>
              <w:rPr>
                <w:rFonts w:hint="eastAsia" w:ascii="宋体" w:cs="宋体" w:eastAsiaTheme="minorEastAsia"/>
                <w:szCs w:val="21"/>
                <w:lang w:eastAsia="zh-CN"/>
              </w:rPr>
            </w:pPr>
          </w:p>
        </w:tc>
      </w:tr>
      <w:tr w14:paraId="510251DA">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1167" w:type="dxa"/>
            <w:tcBorders>
              <w:top w:val="single" w:color="000000"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1000" w:type="dxa"/>
            <w:tcBorders>
              <w:top w:val="single" w:color="000000" w:sz="4" w:space="0"/>
              <w:left w:val="single" w:color="000000" w:sz="4" w:space="0"/>
              <w:bottom w:val="nil"/>
              <w:right w:val="nil"/>
              <w:tl2br w:val="nil"/>
              <w:tr2bl w:val="nil"/>
            </w:tcBorders>
            <w:shd w:val="clear" w:color="auto" w:fill="FFFFFF"/>
            <w:vAlign w:val="center"/>
          </w:tcPr>
          <w:p w14:paraId="13634654">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965.32</w:t>
            </w:r>
          </w:p>
        </w:tc>
        <w:tc>
          <w:tcPr>
            <w:tcW w:w="1425" w:type="dxa"/>
            <w:tcBorders>
              <w:top w:val="single" w:color="000000" w:sz="4" w:space="0"/>
              <w:left w:val="single" w:color="000000" w:sz="4" w:space="0"/>
              <w:bottom w:val="nil"/>
              <w:right w:val="nil"/>
              <w:tl2br w:val="nil"/>
              <w:tr2bl w:val="nil"/>
            </w:tcBorders>
            <w:vAlign w:val="center"/>
          </w:tcPr>
          <w:p w14:paraId="0511B4A0">
            <w:pPr>
              <w:spacing w:line="360" w:lineRule="auto"/>
              <w:jc w:val="center"/>
              <w:rPr>
                <w:rFonts w:hint="eastAsia" w:ascii="宋体" w:cs="宋体"/>
                <w:szCs w:val="21"/>
              </w:rPr>
            </w:pPr>
            <w:r>
              <w:rPr>
                <w:rFonts w:hint="eastAsia" w:ascii="宋体" w:cs="宋体"/>
                <w:szCs w:val="21"/>
              </w:rPr>
              <w:t>—</w:t>
            </w:r>
          </w:p>
        </w:tc>
        <w:tc>
          <w:tcPr>
            <w:tcW w:w="1545" w:type="dxa"/>
            <w:tcBorders>
              <w:top w:val="single" w:color="000000" w:sz="4" w:space="0"/>
              <w:left w:val="single" w:color="000000" w:sz="4" w:space="0"/>
              <w:bottom w:val="nil"/>
              <w:right w:val="nil"/>
              <w:tl2br w:val="nil"/>
              <w:tr2bl w:val="nil"/>
            </w:tcBorders>
            <w:vAlign w:val="center"/>
          </w:tcPr>
          <w:p w14:paraId="24833AD0">
            <w:pPr>
              <w:spacing w:line="360" w:lineRule="auto"/>
              <w:jc w:val="center"/>
              <w:rPr>
                <w:rFonts w:ascii="宋体" w:cs="宋体"/>
                <w:szCs w:val="21"/>
              </w:rPr>
            </w:pPr>
          </w:p>
        </w:tc>
        <w:tc>
          <w:tcPr>
            <w:tcW w:w="1605"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jc w:val="center"/>
              <w:rPr>
                <w:rFonts w:ascii="宋体" w:cs="宋体"/>
                <w:szCs w:val="21"/>
              </w:rPr>
            </w:pPr>
            <w:r>
              <w:rPr>
                <w:rFonts w:hint="eastAsia" w:ascii="宋体" w:cs="宋体"/>
                <w:szCs w:val="21"/>
              </w:rPr>
              <w:t>—</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55C39AA0">
            <w:pPr>
              <w:spacing w:line="360" w:lineRule="auto"/>
              <w:ind w:firstLine="420" w:firstLineChars="200"/>
              <w:jc w:val="center"/>
              <w:rPr>
                <w:rFonts w:hint="eastAsia" w:ascii="宋体" w:cs="宋体"/>
                <w:szCs w:val="21"/>
              </w:rPr>
            </w:pPr>
            <w:r>
              <w:rPr>
                <w:rFonts w:hint="eastAsia" w:ascii="宋体" w:cs="宋体"/>
                <w:szCs w:val="21"/>
              </w:rPr>
              <w:t>—</w:t>
            </w:r>
          </w:p>
        </w:tc>
      </w:tr>
      <w:tr w14:paraId="7F89E311">
        <w:tblPrEx>
          <w:tblCellMar>
            <w:top w:w="0" w:type="dxa"/>
            <w:left w:w="0" w:type="dxa"/>
            <w:bottom w:w="0" w:type="dxa"/>
            <w:right w:w="0" w:type="dxa"/>
          </w:tblCellMar>
        </w:tblPrEx>
        <w:trPr>
          <w:trHeight w:val="841" w:hRule="atLeast"/>
          <w:jc w:val="center"/>
        </w:trPr>
        <w:tc>
          <w:tcPr>
            <w:tcW w:w="10452"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5FF1AE3B">
            <w:pPr>
              <w:snapToGrid w:val="0"/>
              <w:spacing w:line="360" w:lineRule="auto"/>
              <w:jc w:val="center"/>
              <w:rPr>
                <w:rFonts w:hint="eastAsia" w:ascii="宋体" w:cs="宋体"/>
                <w:szCs w:val="21"/>
              </w:rPr>
            </w:pPr>
            <w:r>
              <w:rPr>
                <w:rFonts w:hint="eastAsia" w:ascii="宋体" w:cs="宋体"/>
                <w:szCs w:val="21"/>
              </w:rPr>
              <w:t>备注：实际收货质量、数量以招标方计量检测设备为准，</w:t>
            </w:r>
            <w:r>
              <w:rPr>
                <w:rFonts w:hint="eastAsia" w:ascii="宋体" w:cs="宋体"/>
                <w:szCs w:val="21"/>
                <w:highlight w:val="none"/>
              </w:rPr>
              <w:t>报价数量至少为</w:t>
            </w:r>
            <w:r>
              <w:rPr>
                <w:rFonts w:hint="eastAsia" w:ascii="宋体" w:cs="宋体"/>
                <w:szCs w:val="21"/>
                <w:highlight w:val="none"/>
                <w:lang w:val="en-US" w:eastAsia="zh-CN"/>
              </w:rPr>
              <w:t>965.32</w:t>
            </w:r>
            <w:r>
              <w:rPr>
                <w:rFonts w:hint="eastAsia" w:ascii="宋体" w:cs="宋体"/>
                <w:szCs w:val="21"/>
                <w:highlight w:val="none"/>
              </w:rPr>
              <w:t>吨，否则无效。</w:t>
            </w:r>
          </w:p>
        </w:tc>
      </w:tr>
    </w:tbl>
    <w:p w14:paraId="069A68E2">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w:t>
      </w:r>
      <w:r>
        <w:rPr>
          <w:rFonts w:hint="eastAsia" w:ascii="宋体" w:hAnsi="宋体"/>
          <w:sz w:val="28"/>
          <w:szCs w:val="28"/>
          <w:highlight w:val="none"/>
        </w:rPr>
        <w:t>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天内提供</w:t>
      </w:r>
      <w:r>
        <w:rPr>
          <w:rFonts w:hint="eastAsia" w:ascii="宋体" w:hAnsi="宋体"/>
          <w:sz w:val="28"/>
          <w:szCs w:val="28"/>
          <w:highlight w:val="none"/>
          <w:lang w:eastAsia="zh-CN"/>
        </w:rPr>
        <w:t>含有</w:t>
      </w:r>
      <w:r>
        <w:rPr>
          <w:rFonts w:hint="eastAsia" w:ascii="宋体" w:hAnsi="宋体"/>
          <w:sz w:val="28"/>
          <w:szCs w:val="28"/>
          <w:highlight w:val="none"/>
          <w:lang w:val="en-US" w:eastAsia="zh-CN"/>
        </w:rPr>
        <w:t>CMA</w:t>
      </w:r>
      <w:r>
        <w:rPr>
          <w:rFonts w:hint="eastAsia" w:ascii="宋体" w:hAnsi="宋体"/>
          <w:sz w:val="28"/>
          <w:szCs w:val="28"/>
          <w:highlight w:val="none"/>
          <w:lang w:eastAsia="zh-CN"/>
        </w:rPr>
        <w:t>盖章的</w:t>
      </w:r>
      <w:r>
        <w:rPr>
          <w:rFonts w:hint="eastAsia" w:ascii="宋体" w:hAnsi="宋体"/>
          <w:sz w:val="28"/>
          <w:szCs w:val="28"/>
          <w:highlight w:val="none"/>
          <w:lang w:val="en-US" w:eastAsia="zh-CN"/>
        </w:rPr>
        <w:t>第三方</w:t>
      </w:r>
      <w:r>
        <w:rPr>
          <w:rFonts w:hint="eastAsia" w:ascii="宋体" w:hAnsi="宋体"/>
          <w:sz w:val="28"/>
          <w:szCs w:val="28"/>
          <w:highlight w:val="none"/>
          <w:lang w:eastAsia="zh-CN"/>
        </w:rPr>
        <w:t>检测报告</w:t>
      </w:r>
      <w:r>
        <w:rPr>
          <w:rFonts w:hint="eastAsia" w:ascii="宋体" w:hAnsi="宋体"/>
          <w:sz w:val="28"/>
          <w:szCs w:val="28"/>
          <w:highlight w:val="none"/>
        </w:rPr>
        <w:t>，第三方检测机构的CMA</w:t>
      </w:r>
      <w:r>
        <w:rPr>
          <w:rFonts w:hint="eastAsia" w:ascii="宋体" w:hAnsi="宋体"/>
          <w:sz w:val="28"/>
          <w:szCs w:val="28"/>
          <w:highlight w:val="none"/>
          <w:lang w:val="en-US" w:eastAsia="zh-CN"/>
        </w:rPr>
        <w:t>证书</w:t>
      </w:r>
      <w:r>
        <w:rPr>
          <w:rFonts w:hint="eastAsia" w:ascii="宋体" w:hAnsi="宋体"/>
          <w:sz w:val="28"/>
          <w:szCs w:val="28"/>
          <w:highlight w:val="none"/>
        </w:rPr>
        <w:t>要在有效期限内。未按要求提供招标方有权延迟支付货款。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default"/>
          <w:lang w:val="en-US" w:eastAsia="zh-CN"/>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4、</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5、</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6、</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widowControl/>
        <w:jc w:val="center"/>
        <w:rPr>
          <w:rFonts w:asciiTheme="minorEastAsia" w:hAnsiTheme="minorEastAsia"/>
          <w:sz w:val="32"/>
        </w:rPr>
      </w:pPr>
      <w:r>
        <w:rPr>
          <w:rFonts w:hint="eastAsia" w:cs="宋体" w:asciiTheme="minorEastAsia" w:hAnsiTheme="minorEastAsia"/>
          <w:b/>
          <w:sz w:val="44"/>
          <w:szCs w:val="44"/>
          <w:lang w:val="en-US" w:eastAsia="zh-CN"/>
        </w:rPr>
        <w:t>7、代理人身份证明（身份证复印件）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8、</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9、</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57D2284"/>
    <w:rsid w:val="076058D8"/>
    <w:rsid w:val="07702E58"/>
    <w:rsid w:val="077C23B9"/>
    <w:rsid w:val="07AB18D9"/>
    <w:rsid w:val="07D71D1F"/>
    <w:rsid w:val="08910B4B"/>
    <w:rsid w:val="08C54637"/>
    <w:rsid w:val="0A176E6F"/>
    <w:rsid w:val="0A450F55"/>
    <w:rsid w:val="0A8727F7"/>
    <w:rsid w:val="0B2C1784"/>
    <w:rsid w:val="0B8D6FDE"/>
    <w:rsid w:val="0BC76024"/>
    <w:rsid w:val="0C5D2080"/>
    <w:rsid w:val="0C717B67"/>
    <w:rsid w:val="0DAB1666"/>
    <w:rsid w:val="0F426EB3"/>
    <w:rsid w:val="0F434E8E"/>
    <w:rsid w:val="11643FD8"/>
    <w:rsid w:val="11D16BFE"/>
    <w:rsid w:val="13D5776C"/>
    <w:rsid w:val="15151BE5"/>
    <w:rsid w:val="160723FE"/>
    <w:rsid w:val="165204D2"/>
    <w:rsid w:val="16DC6922"/>
    <w:rsid w:val="17681CF4"/>
    <w:rsid w:val="17D95A7C"/>
    <w:rsid w:val="187E18D0"/>
    <w:rsid w:val="18A05B37"/>
    <w:rsid w:val="196C29A0"/>
    <w:rsid w:val="1B533D2C"/>
    <w:rsid w:val="1C5300EC"/>
    <w:rsid w:val="1D60068B"/>
    <w:rsid w:val="1F135C75"/>
    <w:rsid w:val="1F49412B"/>
    <w:rsid w:val="22E83E4B"/>
    <w:rsid w:val="22E97B8A"/>
    <w:rsid w:val="23F21FDC"/>
    <w:rsid w:val="24392625"/>
    <w:rsid w:val="24793C27"/>
    <w:rsid w:val="24DB56CB"/>
    <w:rsid w:val="25DB2F2D"/>
    <w:rsid w:val="26B7472E"/>
    <w:rsid w:val="291D6A9B"/>
    <w:rsid w:val="298914EC"/>
    <w:rsid w:val="29A23570"/>
    <w:rsid w:val="29CA2EDB"/>
    <w:rsid w:val="29D87CD2"/>
    <w:rsid w:val="29D97BC8"/>
    <w:rsid w:val="2B104E80"/>
    <w:rsid w:val="2B3145CB"/>
    <w:rsid w:val="2C3B3A3A"/>
    <w:rsid w:val="2D182DDE"/>
    <w:rsid w:val="2D954F24"/>
    <w:rsid w:val="2DA863A7"/>
    <w:rsid w:val="2E9B31C7"/>
    <w:rsid w:val="2EEA1563"/>
    <w:rsid w:val="2FB33807"/>
    <w:rsid w:val="30973E22"/>
    <w:rsid w:val="30E25ECB"/>
    <w:rsid w:val="312251B6"/>
    <w:rsid w:val="31316022"/>
    <w:rsid w:val="313D56B9"/>
    <w:rsid w:val="31661C67"/>
    <w:rsid w:val="31975732"/>
    <w:rsid w:val="31BE7E9F"/>
    <w:rsid w:val="34C9185E"/>
    <w:rsid w:val="350A036B"/>
    <w:rsid w:val="376A1597"/>
    <w:rsid w:val="38040E29"/>
    <w:rsid w:val="38832BA3"/>
    <w:rsid w:val="38D2546B"/>
    <w:rsid w:val="39F21B04"/>
    <w:rsid w:val="3A8F093F"/>
    <w:rsid w:val="3AC36CE0"/>
    <w:rsid w:val="3CD438BB"/>
    <w:rsid w:val="3CE04E8D"/>
    <w:rsid w:val="3D9E4A54"/>
    <w:rsid w:val="3DEA06FA"/>
    <w:rsid w:val="3EB14EBC"/>
    <w:rsid w:val="3EFE19FD"/>
    <w:rsid w:val="3F296B75"/>
    <w:rsid w:val="3F813339"/>
    <w:rsid w:val="403827F2"/>
    <w:rsid w:val="40624D42"/>
    <w:rsid w:val="4228414A"/>
    <w:rsid w:val="440A08B0"/>
    <w:rsid w:val="46C61DAE"/>
    <w:rsid w:val="483B0AF8"/>
    <w:rsid w:val="487B6607"/>
    <w:rsid w:val="49060DC5"/>
    <w:rsid w:val="49BB4BF7"/>
    <w:rsid w:val="4A7946D2"/>
    <w:rsid w:val="4AB80B05"/>
    <w:rsid w:val="4B885157"/>
    <w:rsid w:val="4BBC1B7E"/>
    <w:rsid w:val="4BF96A78"/>
    <w:rsid w:val="4C9B6979"/>
    <w:rsid w:val="4CB71A9A"/>
    <w:rsid w:val="4DA932E2"/>
    <w:rsid w:val="4FA95E29"/>
    <w:rsid w:val="4FF00377"/>
    <w:rsid w:val="4FF10F9B"/>
    <w:rsid w:val="50362563"/>
    <w:rsid w:val="50821984"/>
    <w:rsid w:val="50AD3DB7"/>
    <w:rsid w:val="51CF2021"/>
    <w:rsid w:val="51F46971"/>
    <w:rsid w:val="525D7858"/>
    <w:rsid w:val="532D52E1"/>
    <w:rsid w:val="53B25AC6"/>
    <w:rsid w:val="560A721D"/>
    <w:rsid w:val="567C7A09"/>
    <w:rsid w:val="567E3B0B"/>
    <w:rsid w:val="56FE4929"/>
    <w:rsid w:val="58CB22E6"/>
    <w:rsid w:val="59E15B51"/>
    <w:rsid w:val="5A075758"/>
    <w:rsid w:val="5A7256AA"/>
    <w:rsid w:val="5AA555AE"/>
    <w:rsid w:val="5D5C1D60"/>
    <w:rsid w:val="5EF36847"/>
    <w:rsid w:val="61136EBA"/>
    <w:rsid w:val="615D427D"/>
    <w:rsid w:val="619B5C7B"/>
    <w:rsid w:val="61B44D1A"/>
    <w:rsid w:val="61BE4DEC"/>
    <w:rsid w:val="61C22016"/>
    <w:rsid w:val="61C270C2"/>
    <w:rsid w:val="620A786F"/>
    <w:rsid w:val="62EB55DD"/>
    <w:rsid w:val="646F3406"/>
    <w:rsid w:val="65170D52"/>
    <w:rsid w:val="6536793F"/>
    <w:rsid w:val="65E02363"/>
    <w:rsid w:val="65ED73C7"/>
    <w:rsid w:val="66165073"/>
    <w:rsid w:val="68D45367"/>
    <w:rsid w:val="68D61558"/>
    <w:rsid w:val="695D51EA"/>
    <w:rsid w:val="6A736AB6"/>
    <w:rsid w:val="6BC95638"/>
    <w:rsid w:val="6BE874E2"/>
    <w:rsid w:val="6C205013"/>
    <w:rsid w:val="6CAC3E0C"/>
    <w:rsid w:val="6DA145EB"/>
    <w:rsid w:val="6DF46D05"/>
    <w:rsid w:val="6EC242DD"/>
    <w:rsid w:val="6F26687E"/>
    <w:rsid w:val="70FC38A5"/>
    <w:rsid w:val="71990176"/>
    <w:rsid w:val="73E1684D"/>
    <w:rsid w:val="750B0C89"/>
    <w:rsid w:val="75653527"/>
    <w:rsid w:val="75BF02CA"/>
    <w:rsid w:val="762E0698"/>
    <w:rsid w:val="77580A2E"/>
    <w:rsid w:val="78BF61CE"/>
    <w:rsid w:val="78FB535C"/>
    <w:rsid w:val="79177086"/>
    <w:rsid w:val="794D40DE"/>
    <w:rsid w:val="794D7624"/>
    <w:rsid w:val="79AC0609"/>
    <w:rsid w:val="7B3F60B7"/>
    <w:rsid w:val="7B6705FD"/>
    <w:rsid w:val="7C7C0379"/>
    <w:rsid w:val="7CBB3D0A"/>
    <w:rsid w:val="7D8D7E35"/>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21</Pages>
  <Words>9069</Words>
  <Characters>9475</Characters>
  <Lines>82</Lines>
  <Paragraphs>23</Paragraphs>
  <TotalTime>29</TotalTime>
  <ScaleCrop>false</ScaleCrop>
  <LinksUpToDate>false</LinksUpToDate>
  <CharactersWithSpaces>9868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2025-05-26T07:51:54Z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06606CA750484D3A84B703371E27C3F0_13</vt:lpwstr>
  </property>
  <property fmtid="{D5CDD505-2E9C-101B-9397-08002B2CF9AE}" pid="4" name="KSOTemplateDocerSaveRecord">
    <vt:lpwstr>eyJoZGlkIjoiZWM2YzgyMDYzNGM5Zjg5MzgxNTQ0MjQ4YzAyYWUzYjIiLCJ1c2VySWQiOiIyMjgxNTI4NjMifQ==</vt:lpwstr>
  </property>
</Properties>
</file>